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6AE1D25F" w:rsidR="00B65643" w:rsidRDefault="00545454" w:rsidP="00981399">
      <w:pPr>
        <w:tabs>
          <w:tab w:val="right" w:pos="9630"/>
        </w:tabs>
        <w:spacing w:before="0" w:beforeAutospacing="0" w:after="0"/>
        <w:rPr>
          <w:sz w:val="22"/>
          <w:szCs w:val="22"/>
        </w:rPr>
      </w:pPr>
      <w:bookmarkStart w:id="0" w:name="_Ref494746248"/>
      <w:r>
        <w:rPr>
          <w:rFonts w:ascii="Arial" w:hAnsi="Arial" w:cs="Arial"/>
          <w:b/>
          <w:sz w:val="22"/>
          <w:szCs w:val="22"/>
        </w:rPr>
        <w:t>3GPP TSG RAN WG1 #104</w:t>
      </w:r>
      <w:r w:rsidR="00A12209">
        <w:rPr>
          <w:rFonts w:ascii="Arial" w:hAnsi="Arial" w:cs="Arial"/>
          <w:b/>
          <w:sz w:val="22"/>
          <w:szCs w:val="22"/>
        </w:rPr>
        <w:t>b</w:t>
      </w:r>
      <w:r>
        <w:rPr>
          <w:rFonts w:ascii="Arial" w:hAnsi="Arial" w:cs="Arial"/>
          <w:b/>
          <w:sz w:val="22"/>
          <w:szCs w:val="22"/>
        </w:rPr>
        <w:t>-e</w:t>
      </w:r>
      <w:r>
        <w:rPr>
          <w:rFonts w:ascii="Arial" w:hAnsi="Arial" w:cs="Arial"/>
          <w:b/>
          <w:sz w:val="22"/>
          <w:szCs w:val="22"/>
        </w:rPr>
        <w:tab/>
      </w:r>
      <w:r w:rsidR="00EB0843" w:rsidRPr="00EB0843">
        <w:rPr>
          <w:rFonts w:ascii="Arial" w:hAnsi="Arial" w:cs="Arial"/>
          <w:b/>
          <w:sz w:val="22"/>
          <w:szCs w:val="22"/>
        </w:rPr>
        <w:t>R1-2102492</w:t>
      </w:r>
      <w:bookmarkStart w:id="1" w:name="_GoBack"/>
      <w:bookmarkEnd w:id="1"/>
    </w:p>
    <w:p w14:paraId="0482C8F5" w14:textId="4B2D2386" w:rsidR="00B65643" w:rsidRDefault="00545454" w:rsidP="00981399">
      <w:pPr>
        <w:tabs>
          <w:tab w:val="right" w:pos="9630"/>
        </w:tabs>
        <w:spacing w:before="0" w:beforeAutospacing="0" w:after="0"/>
        <w:rPr>
          <w:rFonts w:ascii="Arial" w:hAnsi="Arial" w:cs="Arial"/>
          <w:b/>
          <w:sz w:val="22"/>
          <w:szCs w:val="22"/>
        </w:rPr>
      </w:pPr>
      <w:proofErr w:type="gramStart"/>
      <w:r>
        <w:rPr>
          <w:rFonts w:ascii="Arial" w:hAnsi="Arial" w:cs="Arial"/>
          <w:b/>
          <w:sz w:val="22"/>
          <w:szCs w:val="22"/>
        </w:rPr>
        <w:t>e-Meeting</w:t>
      </w:r>
      <w:proofErr w:type="gramEnd"/>
      <w:r>
        <w:rPr>
          <w:rFonts w:ascii="Arial" w:hAnsi="Arial" w:cs="Arial"/>
          <w:b/>
          <w:sz w:val="22"/>
          <w:szCs w:val="22"/>
        </w:rPr>
        <w:t xml:space="preserve">, </w:t>
      </w:r>
      <w:r w:rsidR="00A12209">
        <w:rPr>
          <w:rFonts w:ascii="Arial" w:hAnsi="Arial" w:cs="Arial"/>
          <w:b/>
          <w:sz w:val="22"/>
          <w:szCs w:val="22"/>
        </w:rPr>
        <w:t>April</w:t>
      </w:r>
      <w:r>
        <w:rPr>
          <w:rFonts w:ascii="Arial" w:hAnsi="Arial" w:cs="Arial"/>
          <w:b/>
          <w:sz w:val="22"/>
          <w:szCs w:val="22"/>
        </w:rPr>
        <w:t xml:space="preserve"> </w:t>
      </w:r>
      <w:r w:rsidR="00A12209">
        <w:rPr>
          <w:rFonts w:ascii="Arial" w:hAnsi="Arial" w:cs="Arial"/>
          <w:b/>
          <w:sz w:val="22"/>
          <w:szCs w:val="22"/>
        </w:rPr>
        <w:t>12</w:t>
      </w:r>
      <w:r>
        <w:rPr>
          <w:rFonts w:ascii="Arial" w:hAnsi="Arial" w:cs="Arial"/>
          <w:b/>
          <w:sz w:val="22"/>
          <w:szCs w:val="22"/>
          <w:vertAlign w:val="superscript"/>
        </w:rPr>
        <w:t>th</w:t>
      </w:r>
      <w:r>
        <w:rPr>
          <w:rFonts w:ascii="Arial" w:hAnsi="Arial" w:cs="Arial"/>
          <w:b/>
          <w:sz w:val="22"/>
          <w:szCs w:val="22"/>
        </w:rPr>
        <w:t xml:space="preserve"> – </w:t>
      </w:r>
      <w:r w:rsidR="00A12209">
        <w:rPr>
          <w:rFonts w:ascii="Arial" w:hAnsi="Arial" w:cs="Arial"/>
          <w:b/>
          <w:sz w:val="22"/>
          <w:szCs w:val="22"/>
        </w:rPr>
        <w:t>April</w:t>
      </w:r>
      <w:r>
        <w:rPr>
          <w:rFonts w:ascii="Arial" w:hAnsi="Arial" w:cs="Arial"/>
          <w:b/>
          <w:sz w:val="22"/>
          <w:szCs w:val="22"/>
        </w:rPr>
        <w:t xml:space="preserve"> </w:t>
      </w:r>
      <w:r w:rsidR="00A12209">
        <w:rPr>
          <w:rFonts w:ascii="Arial" w:hAnsi="Arial" w:cs="Arial"/>
          <w:b/>
          <w:sz w:val="22"/>
          <w:szCs w:val="22"/>
        </w:rPr>
        <w:t>20</w:t>
      </w:r>
      <w:r>
        <w:rPr>
          <w:rFonts w:ascii="Arial" w:hAnsi="Arial" w:cs="Arial"/>
          <w:b/>
          <w:sz w:val="22"/>
          <w:szCs w:val="22"/>
          <w:vertAlign w:val="superscript"/>
        </w:rPr>
        <w:t>th</w:t>
      </w:r>
      <w:r>
        <w:rPr>
          <w:rFonts w:ascii="Arial" w:hAnsi="Arial" w:cs="Arial"/>
          <w:b/>
          <w:sz w:val="22"/>
          <w:szCs w:val="22"/>
        </w:rPr>
        <w:t>, 2021</w:t>
      </w:r>
      <w:r>
        <w:rPr>
          <w:rFonts w:ascii="Arial" w:hAnsi="Arial" w:cs="Arial"/>
          <w:b/>
          <w:sz w:val="22"/>
          <w:szCs w:val="22"/>
        </w:rPr>
        <w:tab/>
      </w:r>
    </w:p>
    <w:p w14:paraId="28640B97" w14:textId="77777777" w:rsidR="00B65643" w:rsidRDefault="00B65643" w:rsidP="00981399">
      <w:pPr>
        <w:pStyle w:val="ad"/>
        <w:jc w:val="both"/>
      </w:pPr>
    </w:p>
    <w:p w14:paraId="211D5641" w14:textId="77777777" w:rsidR="00B65643" w:rsidRDefault="00545454" w:rsidP="00981399">
      <w:pPr>
        <w:tabs>
          <w:tab w:val="left" w:pos="1985"/>
        </w:tabs>
        <w:spacing w:before="0" w:beforeAutospacing="0" w:after="0"/>
        <w:rPr>
          <w:rFonts w:ascii="Arial" w:hAnsi="Arial"/>
          <w:b/>
        </w:rPr>
      </w:pPr>
      <w:r>
        <w:rPr>
          <w:rFonts w:ascii="Arial" w:hAnsi="Arial"/>
          <w:b/>
        </w:rPr>
        <w:t xml:space="preserve">Source: </w:t>
      </w:r>
      <w:r>
        <w:rPr>
          <w:rFonts w:ascii="Arial" w:hAnsi="Arial"/>
          <w:b/>
        </w:rPr>
        <w:tab/>
        <w:t>ZTE</w:t>
      </w:r>
    </w:p>
    <w:p w14:paraId="7D82D081" w14:textId="0AD21649" w:rsidR="00B65643" w:rsidRDefault="00545454" w:rsidP="00981399">
      <w:pPr>
        <w:spacing w:before="0" w:beforeAutospacing="0" w:after="0"/>
        <w:ind w:left="1988" w:hanging="1988"/>
        <w:rPr>
          <w:rFonts w:ascii="Arial" w:hAnsi="Arial"/>
          <w:b/>
        </w:rPr>
      </w:pPr>
      <w:r>
        <w:rPr>
          <w:rFonts w:ascii="Arial" w:hAnsi="Arial"/>
          <w:b/>
        </w:rPr>
        <w:t xml:space="preserve">Title: </w:t>
      </w:r>
      <w:r>
        <w:rPr>
          <w:rFonts w:ascii="Arial" w:hAnsi="Arial"/>
          <w:b/>
        </w:rPr>
        <w:tab/>
      </w:r>
      <w:r w:rsidR="00D95E85">
        <w:rPr>
          <w:rFonts w:ascii="Arial" w:hAnsi="Arial"/>
          <w:b/>
        </w:rPr>
        <w:t>Remaining Issues of</w:t>
      </w:r>
      <w:r>
        <w:rPr>
          <w:rFonts w:ascii="Arial" w:hAnsi="Arial"/>
          <w:b/>
        </w:rPr>
        <w:t xml:space="preserve"> </w:t>
      </w:r>
      <w:r w:rsidR="00E45100">
        <w:rPr>
          <w:rFonts w:ascii="Arial" w:hAnsi="Arial"/>
          <w:b/>
        </w:rPr>
        <w:t>Half-duplex CA</w:t>
      </w:r>
    </w:p>
    <w:p w14:paraId="1E85DD5A" w14:textId="602214A5" w:rsidR="00B65643" w:rsidRDefault="00545454" w:rsidP="00981399">
      <w:pPr>
        <w:tabs>
          <w:tab w:val="left" w:pos="1985"/>
        </w:tabs>
        <w:spacing w:before="0" w:beforeAutospacing="0" w:after="0"/>
        <w:rPr>
          <w:rFonts w:ascii="Arial" w:hAnsi="Arial"/>
          <w:b/>
        </w:rPr>
      </w:pPr>
      <w:r>
        <w:rPr>
          <w:rFonts w:ascii="Arial" w:hAnsi="Arial"/>
          <w:b/>
        </w:rPr>
        <w:t>Agenda item:</w:t>
      </w:r>
      <w:r>
        <w:rPr>
          <w:rFonts w:ascii="Arial" w:hAnsi="Arial"/>
          <w:b/>
        </w:rPr>
        <w:tab/>
      </w:r>
      <w:r w:rsidR="00D95E85">
        <w:rPr>
          <w:rFonts w:ascii="Arial" w:hAnsi="Arial"/>
          <w:b/>
        </w:rPr>
        <w:t>7.2.12</w:t>
      </w:r>
    </w:p>
    <w:p w14:paraId="10897C2C" w14:textId="77777777" w:rsidR="00B65643" w:rsidRDefault="00545454" w:rsidP="00981399">
      <w:pPr>
        <w:spacing w:before="0" w:beforeAutospacing="0" w:after="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091265FF" w14:textId="4C499175" w:rsidR="00C355F3" w:rsidRDefault="00C355F3" w:rsidP="00E45100">
      <w:pPr>
        <w:jc w:val="both"/>
        <w:rPr>
          <w:sz w:val="20"/>
          <w:lang w:val="en-GB"/>
        </w:rPr>
      </w:pPr>
      <w:r w:rsidRPr="00981399">
        <w:rPr>
          <w:sz w:val="20"/>
          <w:lang w:val="en-GB"/>
        </w:rPr>
        <w:t>During RAN1#104e meeting, companies discussed</w:t>
      </w:r>
      <w:r w:rsidR="00E45100">
        <w:rPr>
          <w:sz w:val="20"/>
          <w:lang w:val="en-GB"/>
        </w:rPr>
        <w:t xml:space="preserve"> some remaining issues of half-duplex CA</w:t>
      </w:r>
      <w:r w:rsidR="001F09FF">
        <w:rPr>
          <w:sz w:val="20"/>
          <w:lang w:val="en-GB"/>
        </w:rPr>
        <w:t xml:space="preserve"> [1]</w:t>
      </w:r>
      <w:r w:rsidRPr="00981399">
        <w:rPr>
          <w:sz w:val="20"/>
          <w:lang w:val="en-GB"/>
        </w:rPr>
        <w:t>.</w:t>
      </w:r>
      <w:r w:rsidR="00E45100">
        <w:rPr>
          <w:sz w:val="20"/>
          <w:lang w:val="en-GB"/>
        </w:rPr>
        <w:t xml:space="preserve"> No conclusion/agreements were achieved due to different understandings/interpretations of the current specification. In this contribution, we provide our analysis for these remaining issues.</w:t>
      </w:r>
    </w:p>
    <w:p w14:paraId="679324E4" w14:textId="77777777" w:rsidR="00E45100" w:rsidRPr="00E30F1C" w:rsidRDefault="00E45100">
      <w:pPr>
        <w:rPr>
          <w:sz w:val="20"/>
          <w:lang w:val="en-GB"/>
        </w:rPr>
      </w:pPr>
    </w:p>
    <w:p w14:paraId="0D16C026" w14:textId="7DE21ECB" w:rsidR="00B65643" w:rsidRDefault="00265DCF">
      <w:pPr>
        <w:pStyle w:val="1"/>
        <w:rPr>
          <w:lang w:eastAsia="zh-CN"/>
        </w:rPr>
      </w:pPr>
      <w:r>
        <w:rPr>
          <w:lang w:eastAsia="zh-CN"/>
        </w:rPr>
        <w:t>Discussion</w:t>
      </w:r>
    </w:p>
    <w:p w14:paraId="7DBE8D54" w14:textId="1B99D2AE" w:rsidR="003C2497" w:rsidRDefault="009A37DE" w:rsidP="00BA625F">
      <w:pPr>
        <w:jc w:val="both"/>
        <w:rPr>
          <w:sz w:val="20"/>
          <w:szCs w:val="20"/>
          <w:lang w:val="en-GB"/>
        </w:rPr>
      </w:pPr>
      <w:r>
        <w:rPr>
          <w:rFonts w:hint="eastAsia"/>
          <w:sz w:val="20"/>
          <w:szCs w:val="20"/>
          <w:lang w:val="en-GB"/>
        </w:rPr>
        <w:t>B</w:t>
      </w:r>
      <w:r>
        <w:rPr>
          <w:sz w:val="20"/>
          <w:szCs w:val="20"/>
          <w:lang w:val="en-GB"/>
        </w:rPr>
        <w:t xml:space="preserve">ased on the previous discussion in </w:t>
      </w:r>
      <w:r w:rsidRPr="009A37DE">
        <w:rPr>
          <w:sz w:val="20"/>
          <w:szCs w:val="20"/>
          <w:lang w:val="en-GB"/>
        </w:rPr>
        <w:t>[104-e-NR-TEI-01]</w:t>
      </w:r>
      <w:r>
        <w:rPr>
          <w:sz w:val="20"/>
          <w:szCs w:val="20"/>
          <w:lang w:val="en-GB"/>
        </w:rPr>
        <w:t>, basically, the following issues may need to be clarified.</w:t>
      </w:r>
      <w:r w:rsidR="00BA625F">
        <w:rPr>
          <w:sz w:val="20"/>
          <w:szCs w:val="20"/>
          <w:lang w:val="en-GB"/>
        </w:rPr>
        <w:t xml:space="preserve"> In the following, we discuss these issues one by one.</w:t>
      </w:r>
    </w:p>
    <w:p w14:paraId="5209870C" w14:textId="77777777" w:rsidR="009A37DE" w:rsidRPr="00BA625F" w:rsidRDefault="009A37DE" w:rsidP="00BA625F">
      <w:pPr>
        <w:pStyle w:val="a"/>
        <w:numPr>
          <w:ilvl w:val="0"/>
          <w:numId w:val="17"/>
        </w:numPr>
        <w:rPr>
          <w:szCs w:val="20"/>
        </w:rPr>
      </w:pPr>
      <w:r w:rsidRPr="00BA625F">
        <w:rPr>
          <w:szCs w:val="20"/>
        </w:rPr>
        <w:t>Issue-1: Whether reference cell is can be updated symbol by symbol.</w:t>
      </w:r>
    </w:p>
    <w:p w14:paraId="792B8045" w14:textId="77777777" w:rsidR="009A37DE" w:rsidRPr="00BA625F" w:rsidRDefault="009A37DE" w:rsidP="00BA625F">
      <w:pPr>
        <w:pStyle w:val="a"/>
        <w:numPr>
          <w:ilvl w:val="0"/>
          <w:numId w:val="17"/>
        </w:numPr>
        <w:rPr>
          <w:szCs w:val="20"/>
        </w:rPr>
      </w:pPr>
      <w:r w:rsidRPr="00BA625F">
        <w:rPr>
          <w:szCs w:val="20"/>
        </w:rPr>
        <w:t>Issue-2: Whether the prioritization rule is applied per CG or per carrier pair.</w:t>
      </w:r>
    </w:p>
    <w:p w14:paraId="0AF2DB03" w14:textId="496BAA53" w:rsidR="009A37DE" w:rsidRPr="00BA625F" w:rsidRDefault="009A37DE" w:rsidP="00BA625F">
      <w:pPr>
        <w:pStyle w:val="a"/>
        <w:numPr>
          <w:ilvl w:val="0"/>
          <w:numId w:val="17"/>
        </w:numPr>
        <w:rPr>
          <w:szCs w:val="20"/>
        </w:rPr>
      </w:pPr>
      <w:r w:rsidRPr="00BA625F">
        <w:rPr>
          <w:szCs w:val="20"/>
        </w:rPr>
        <w:t xml:space="preserve">Issue-3: Whether the dropping rule can be applied to intra-band case.  </w:t>
      </w:r>
    </w:p>
    <w:p w14:paraId="7F04245C" w14:textId="77777777" w:rsidR="009A37DE" w:rsidRDefault="009A37DE" w:rsidP="00BA625F">
      <w:pPr>
        <w:jc w:val="both"/>
        <w:rPr>
          <w:sz w:val="20"/>
          <w:szCs w:val="20"/>
          <w:lang w:val="en-GB"/>
        </w:rPr>
      </w:pPr>
    </w:p>
    <w:p w14:paraId="5258D403" w14:textId="77777777" w:rsidR="00BA625F" w:rsidRPr="00BA625F" w:rsidRDefault="00BA625F" w:rsidP="00BA625F">
      <w:pPr>
        <w:jc w:val="both"/>
        <w:rPr>
          <w:b/>
          <w:sz w:val="20"/>
          <w:szCs w:val="20"/>
          <w:u w:val="single"/>
          <w:lang w:val="en-GB"/>
        </w:rPr>
      </w:pPr>
      <w:r w:rsidRPr="00BA625F">
        <w:rPr>
          <w:b/>
          <w:sz w:val="20"/>
          <w:szCs w:val="20"/>
          <w:u w:val="single"/>
          <w:lang w:val="en-GB"/>
        </w:rPr>
        <w:t>Issue-1: Whether reference cell is can be updated symbol by symbol.</w:t>
      </w:r>
    </w:p>
    <w:p w14:paraId="4AA25209" w14:textId="548DB512" w:rsidR="00BA625F" w:rsidRDefault="00BA625F" w:rsidP="00BA625F">
      <w:pPr>
        <w:jc w:val="both"/>
        <w:rPr>
          <w:sz w:val="20"/>
          <w:szCs w:val="20"/>
          <w:lang w:val="en-GB"/>
        </w:rPr>
      </w:pPr>
      <w:r>
        <w:rPr>
          <w:sz w:val="20"/>
          <w:szCs w:val="20"/>
          <w:lang w:val="en-GB"/>
        </w:rPr>
        <w:t xml:space="preserve">The reference cell is defined based on the following spec. The definition is clear if the symbol is indicated as downlink or uplink by </w:t>
      </w:r>
      <w:proofErr w:type="spellStart"/>
      <w:r w:rsidRPr="00BA625F">
        <w:rPr>
          <w:i/>
          <w:sz w:val="20"/>
          <w:szCs w:val="20"/>
          <w:lang w:val="en-GB"/>
        </w:rPr>
        <w:t>tdd</w:t>
      </w:r>
      <w:proofErr w:type="spellEnd"/>
      <w:r w:rsidRPr="00BA625F">
        <w:rPr>
          <w:i/>
          <w:sz w:val="20"/>
          <w:szCs w:val="20"/>
          <w:lang w:val="en-GB"/>
        </w:rPr>
        <w:t>-UL-DL-</w:t>
      </w:r>
      <w:proofErr w:type="spellStart"/>
      <w:r w:rsidRPr="00BA625F">
        <w:rPr>
          <w:i/>
          <w:sz w:val="20"/>
          <w:szCs w:val="20"/>
          <w:lang w:val="en-GB"/>
        </w:rPr>
        <w:t>ConfigurationCommon</w:t>
      </w:r>
      <w:proofErr w:type="spellEnd"/>
      <w:r w:rsidRPr="00BA625F">
        <w:rPr>
          <w:sz w:val="20"/>
          <w:szCs w:val="20"/>
          <w:lang w:val="en-GB"/>
        </w:rPr>
        <w:t xml:space="preserve"> or </w:t>
      </w:r>
      <w:proofErr w:type="spellStart"/>
      <w:r w:rsidRPr="00BA625F">
        <w:rPr>
          <w:i/>
          <w:sz w:val="20"/>
          <w:szCs w:val="20"/>
          <w:lang w:val="en-GB"/>
        </w:rPr>
        <w:t>tdd</w:t>
      </w:r>
      <w:proofErr w:type="spellEnd"/>
      <w:r w:rsidRPr="00BA625F">
        <w:rPr>
          <w:i/>
          <w:sz w:val="20"/>
          <w:szCs w:val="20"/>
          <w:lang w:val="en-GB"/>
        </w:rPr>
        <w:t>-UL-DL-</w:t>
      </w:r>
      <w:proofErr w:type="spellStart"/>
      <w:r w:rsidRPr="00BA625F">
        <w:rPr>
          <w:i/>
          <w:sz w:val="20"/>
          <w:szCs w:val="20"/>
          <w:lang w:val="en-GB"/>
        </w:rPr>
        <w:t>ConfigurationDedicated</w:t>
      </w:r>
      <w:proofErr w:type="spellEnd"/>
      <w:r>
        <w:rPr>
          <w:sz w:val="20"/>
          <w:szCs w:val="20"/>
          <w:lang w:val="en-GB"/>
        </w:rPr>
        <w:t xml:space="preserve">. It is clear if the symbol is indicated as flexible but configured to </w:t>
      </w:r>
      <w:r w:rsidRPr="00BA625F">
        <w:rPr>
          <w:sz w:val="20"/>
          <w:szCs w:val="20"/>
          <w:lang w:val="en-GB"/>
        </w:rPr>
        <w:t>transmit SRS, PUCCH, PUSCH, or PRACH on the symbol</w:t>
      </w:r>
      <w:r>
        <w:rPr>
          <w:sz w:val="20"/>
          <w:szCs w:val="20"/>
          <w:lang w:val="en-GB"/>
        </w:rPr>
        <w:t xml:space="preserve"> or </w:t>
      </w:r>
      <w:r w:rsidRPr="00BA625F">
        <w:rPr>
          <w:sz w:val="20"/>
          <w:szCs w:val="20"/>
        </w:rPr>
        <w:t>to receive PDCCH, PDSCH or CSI-RS on the symbol</w:t>
      </w:r>
      <w:r>
        <w:rPr>
          <w:sz w:val="20"/>
          <w:szCs w:val="20"/>
        </w:rPr>
        <w:t>. However, it is not clear whether the symbol indicated as flexible but not configured to transmit or receive should be taken into account.</w:t>
      </w:r>
    </w:p>
    <w:tbl>
      <w:tblPr>
        <w:tblStyle w:val="af4"/>
        <w:tblW w:w="0" w:type="auto"/>
        <w:tblLook w:val="04A0" w:firstRow="1" w:lastRow="0" w:firstColumn="1" w:lastColumn="0" w:noHBand="0" w:noVBand="1"/>
      </w:tblPr>
      <w:tblGrid>
        <w:gridCol w:w="9628"/>
      </w:tblGrid>
      <w:tr w:rsidR="00BA625F" w14:paraId="2E31EF94" w14:textId="77777777" w:rsidTr="00BA625F">
        <w:tc>
          <w:tcPr>
            <w:tcW w:w="9628" w:type="dxa"/>
          </w:tcPr>
          <w:p w14:paraId="0EED5566" w14:textId="77777777" w:rsidR="00BA625F" w:rsidRPr="00BA625F" w:rsidRDefault="00BA625F" w:rsidP="00BA625F">
            <w:pPr>
              <w:spacing w:before="0" w:beforeAutospacing="0" w:after="0" w:line="240" w:lineRule="auto"/>
              <w:rPr>
                <w:sz w:val="20"/>
                <w:szCs w:val="20"/>
              </w:rPr>
            </w:pPr>
            <w:r w:rsidRPr="00BA625F">
              <w:rPr>
                <w:sz w:val="20"/>
                <w:szCs w:val="20"/>
              </w:rPr>
              <w:t>If a UE</w:t>
            </w:r>
          </w:p>
          <w:p w14:paraId="41F1EDDD" w14:textId="77777777" w:rsidR="00BA625F" w:rsidRPr="00BA625F" w:rsidRDefault="00BA625F" w:rsidP="00BA625F">
            <w:pPr>
              <w:pStyle w:val="B1"/>
              <w:spacing w:after="0" w:line="240" w:lineRule="auto"/>
            </w:pPr>
            <w:r w:rsidRPr="00BA625F">
              <w:t>-</w:t>
            </w:r>
            <w:r w:rsidRPr="00BA625F">
              <w:tab/>
              <w:t xml:space="preserve">is configured with multiple serving cells and is provided </w:t>
            </w:r>
            <w:r w:rsidRPr="00BA625F">
              <w:rPr>
                <w:i/>
                <w:iCs/>
              </w:rPr>
              <w:t xml:space="preserve">half-duplex-behavior </w:t>
            </w:r>
            <w:r w:rsidRPr="00BA625F">
              <w:t>= 'enable', and</w:t>
            </w:r>
          </w:p>
          <w:p w14:paraId="793F1FE2" w14:textId="77777777" w:rsidR="00BA625F" w:rsidRPr="00BA625F" w:rsidRDefault="00BA625F" w:rsidP="00BA625F">
            <w:pPr>
              <w:pStyle w:val="B1"/>
              <w:spacing w:after="0" w:line="240" w:lineRule="auto"/>
            </w:pPr>
            <w:r w:rsidRPr="00BA625F">
              <w:t>-</w:t>
            </w:r>
            <w:r w:rsidRPr="00BA625F">
              <w:tab/>
              <w:t>is not capable of simultaneous transmission and reception on any of the multiple serving cells, and</w:t>
            </w:r>
          </w:p>
          <w:p w14:paraId="05B710D3" w14:textId="77777777" w:rsidR="00BA625F" w:rsidRPr="00BA625F" w:rsidRDefault="00BA625F" w:rsidP="00BA625F">
            <w:pPr>
              <w:pStyle w:val="B1"/>
              <w:spacing w:after="0" w:line="240" w:lineRule="auto"/>
            </w:pPr>
            <w:r w:rsidRPr="00BA625F">
              <w:t>-</w:t>
            </w:r>
            <w:r w:rsidRPr="00BA625F">
              <w:tab/>
              <w:t xml:space="preserve">indicates support of capability for half-duplex operation in CA with unpaired spectrum, and </w:t>
            </w:r>
          </w:p>
          <w:p w14:paraId="5B0D1B88" w14:textId="77777777" w:rsidR="00BA625F" w:rsidRPr="00BA625F" w:rsidRDefault="00BA625F" w:rsidP="00BA625F">
            <w:pPr>
              <w:pStyle w:val="B1"/>
              <w:spacing w:after="0" w:line="240" w:lineRule="auto"/>
            </w:pPr>
            <w:r w:rsidRPr="00BA625F">
              <w:t>-</w:t>
            </w:r>
            <w:r w:rsidRPr="00BA625F">
              <w:tab/>
              <w:t>is not configured to monitor PDCCH for detection of DCI format 2-0</w:t>
            </w:r>
            <w:r w:rsidRPr="00BA625F">
              <w:rPr>
                <w:rFonts w:eastAsia="等线"/>
              </w:rPr>
              <w:t xml:space="preserve"> on any of the multiple serving cells</w:t>
            </w:r>
            <w:r w:rsidRPr="00BA625F">
              <w:t xml:space="preserve">, </w:t>
            </w:r>
          </w:p>
          <w:p w14:paraId="20E6290B" w14:textId="77777777" w:rsidR="00BA625F" w:rsidRPr="00BA625F" w:rsidRDefault="00BA625F" w:rsidP="00BA625F">
            <w:pPr>
              <w:spacing w:before="0" w:beforeAutospacing="0" w:after="0" w:line="240" w:lineRule="auto"/>
              <w:rPr>
                <w:sz w:val="20"/>
                <w:szCs w:val="20"/>
              </w:rPr>
            </w:pPr>
            <w:r w:rsidRPr="00BA625F">
              <w:rPr>
                <w:sz w:val="20"/>
                <w:szCs w:val="20"/>
              </w:rPr>
              <w:t>the UE determines a reference cell for a symbol as an active cell with the smallest cell index among serving cells where the symbol is configured as</w:t>
            </w:r>
          </w:p>
          <w:p w14:paraId="38C14F68" w14:textId="77777777" w:rsidR="00BA625F" w:rsidRPr="00BA625F" w:rsidRDefault="00BA625F" w:rsidP="00BA625F">
            <w:pPr>
              <w:pStyle w:val="B1"/>
              <w:spacing w:after="0" w:line="240" w:lineRule="auto"/>
              <w:rPr>
                <w:i/>
                <w:iCs/>
              </w:rPr>
            </w:pPr>
            <w:r w:rsidRPr="00BA625F">
              <w:t>-</w:t>
            </w:r>
            <w:r w:rsidRPr="00BA625F">
              <w:tab/>
              <w:t xml:space="preserve">downlink, or uplink, as indicated by </w:t>
            </w:r>
            <w:proofErr w:type="spellStart"/>
            <w:r w:rsidRPr="00BA625F">
              <w:rPr>
                <w:i/>
                <w:iCs/>
              </w:rPr>
              <w:t>tdd</w:t>
            </w:r>
            <w:proofErr w:type="spellEnd"/>
            <w:r w:rsidRPr="00BA625F">
              <w:rPr>
                <w:i/>
                <w:iCs/>
              </w:rPr>
              <w:t>-UL-DL-</w:t>
            </w:r>
            <w:proofErr w:type="spellStart"/>
            <w:r w:rsidRPr="00BA625F">
              <w:rPr>
                <w:i/>
                <w:iCs/>
              </w:rPr>
              <w:t>ConfigurationCommon</w:t>
            </w:r>
            <w:proofErr w:type="spellEnd"/>
            <w:r w:rsidRPr="00BA625F">
              <w:t xml:space="preserve"> or </w:t>
            </w:r>
            <w:proofErr w:type="spellStart"/>
            <w:r w:rsidRPr="00BA625F">
              <w:rPr>
                <w:i/>
                <w:iCs/>
              </w:rPr>
              <w:t>tdd</w:t>
            </w:r>
            <w:proofErr w:type="spellEnd"/>
            <w:r w:rsidRPr="00BA625F">
              <w:rPr>
                <w:i/>
                <w:iCs/>
              </w:rPr>
              <w:t>-UL-DL-</w:t>
            </w:r>
            <w:proofErr w:type="spellStart"/>
            <w:r w:rsidRPr="00BA625F">
              <w:rPr>
                <w:i/>
                <w:iCs/>
              </w:rPr>
              <w:t>ConfigurationDedicated</w:t>
            </w:r>
            <w:proofErr w:type="spellEnd"/>
          </w:p>
          <w:p w14:paraId="6B101C66" w14:textId="77777777" w:rsidR="00BA625F" w:rsidRPr="00BA625F" w:rsidRDefault="00BA625F" w:rsidP="00BA625F">
            <w:pPr>
              <w:pStyle w:val="B1"/>
              <w:spacing w:after="0" w:line="240" w:lineRule="auto"/>
            </w:pPr>
            <w:r w:rsidRPr="00BA625F">
              <w:t>-</w:t>
            </w:r>
            <w:r w:rsidRPr="00BA625F">
              <w:tab/>
              <w:t>uplink, if the symbol is flexible and the UE is configured to transmit SRS, PUCCH, PUSCH, or PRACH on the symbol</w:t>
            </w:r>
          </w:p>
          <w:p w14:paraId="32958C3E" w14:textId="7DDBC9DC" w:rsidR="00BA625F" w:rsidRPr="00BA625F" w:rsidRDefault="00BA625F" w:rsidP="00BA625F">
            <w:pPr>
              <w:pStyle w:val="B1"/>
              <w:spacing w:after="0" w:line="240" w:lineRule="auto"/>
            </w:pPr>
            <w:r w:rsidRPr="00BA625F">
              <w:t>-</w:t>
            </w:r>
            <w:r w:rsidRPr="00BA625F">
              <w:tab/>
              <w:t xml:space="preserve">downlink, if the symbol is flexible and the UE is configured to receive PDCCH, PDSCH or CSI-RS on the symbol </w:t>
            </w:r>
          </w:p>
        </w:tc>
      </w:tr>
    </w:tbl>
    <w:p w14:paraId="5CAF7643" w14:textId="2E5FDF04" w:rsidR="00BA625F" w:rsidRDefault="00674C10" w:rsidP="00BD0E89">
      <w:pPr>
        <w:jc w:val="both"/>
        <w:rPr>
          <w:sz w:val="20"/>
          <w:szCs w:val="20"/>
          <w:lang w:val="en-GB"/>
        </w:rPr>
      </w:pPr>
      <w:r>
        <w:rPr>
          <w:rFonts w:hint="eastAsia"/>
          <w:sz w:val="20"/>
          <w:szCs w:val="20"/>
          <w:lang w:val="en-GB"/>
        </w:rPr>
        <w:t>I</w:t>
      </w:r>
      <w:r>
        <w:rPr>
          <w:sz w:val="20"/>
          <w:szCs w:val="20"/>
          <w:lang w:val="en-GB"/>
        </w:rPr>
        <w:t xml:space="preserve">f the flexible symbol that is not configured to transmit or receive is taken into account, then the reference cell is fixated to some extent unless there is </w:t>
      </w:r>
      <w:proofErr w:type="spellStart"/>
      <w:r>
        <w:rPr>
          <w:sz w:val="20"/>
          <w:szCs w:val="20"/>
          <w:lang w:val="en-GB"/>
        </w:rPr>
        <w:t>SCells</w:t>
      </w:r>
      <w:proofErr w:type="spellEnd"/>
      <w:r>
        <w:rPr>
          <w:sz w:val="20"/>
          <w:szCs w:val="20"/>
          <w:lang w:val="en-GB"/>
        </w:rPr>
        <w:t xml:space="preserve"> being activated/deactivated. However, this may end up with flexible symbols without any semi-static configured transmission/reception being reference symbol. This doesn’t seem to be a problem. Otherwise, the reference cell may be updated symbol by symbol, which may require both the network and UE to track the reference cell symbol by symbol.</w:t>
      </w:r>
    </w:p>
    <w:p w14:paraId="0C612B9A" w14:textId="35EA7533" w:rsidR="00674C10" w:rsidRDefault="00674C10" w:rsidP="00BD0E89">
      <w:pPr>
        <w:jc w:val="both"/>
        <w:rPr>
          <w:sz w:val="20"/>
          <w:szCs w:val="20"/>
          <w:lang w:val="en-GB"/>
        </w:rPr>
      </w:pPr>
      <w:r>
        <w:rPr>
          <w:sz w:val="20"/>
          <w:szCs w:val="20"/>
          <w:lang w:val="en-GB"/>
        </w:rPr>
        <w:t>In this sense, the following TP can be considered.</w:t>
      </w:r>
    </w:p>
    <w:p w14:paraId="46011026" w14:textId="54AC469C" w:rsidR="001B57C1" w:rsidRPr="001B57C1" w:rsidRDefault="001B57C1" w:rsidP="00BD0E89">
      <w:pPr>
        <w:jc w:val="both"/>
        <w:rPr>
          <w:i/>
          <w:sz w:val="20"/>
          <w:szCs w:val="20"/>
          <w:lang w:val="en-GB"/>
        </w:rPr>
      </w:pPr>
      <w:r w:rsidRPr="001B57C1">
        <w:rPr>
          <w:b/>
          <w:i/>
          <w:sz w:val="20"/>
          <w:szCs w:val="20"/>
          <w:lang w:val="en-GB"/>
        </w:rPr>
        <w:lastRenderedPageBreak/>
        <w:t>Proposal-1</w:t>
      </w:r>
      <w:r w:rsidRPr="001B57C1">
        <w:rPr>
          <w:i/>
          <w:sz w:val="20"/>
          <w:szCs w:val="20"/>
          <w:lang w:val="en-GB"/>
        </w:rPr>
        <w:t>: Introduce the following TP for Section 11.1 of TS38.213.</w:t>
      </w:r>
    </w:p>
    <w:tbl>
      <w:tblPr>
        <w:tblStyle w:val="af4"/>
        <w:tblW w:w="0" w:type="auto"/>
        <w:tblLook w:val="04A0" w:firstRow="1" w:lastRow="0" w:firstColumn="1" w:lastColumn="0" w:noHBand="0" w:noVBand="1"/>
      </w:tblPr>
      <w:tblGrid>
        <w:gridCol w:w="9628"/>
      </w:tblGrid>
      <w:tr w:rsidR="00674C10" w14:paraId="7F5C680E" w14:textId="77777777" w:rsidTr="00BE058E">
        <w:tc>
          <w:tcPr>
            <w:tcW w:w="9628" w:type="dxa"/>
          </w:tcPr>
          <w:p w14:paraId="7DD543D3" w14:textId="77777777" w:rsidR="00674C10" w:rsidRPr="00BA625F" w:rsidRDefault="00674C10" w:rsidP="00BE058E">
            <w:pPr>
              <w:spacing w:before="0" w:beforeAutospacing="0" w:after="0" w:line="240" w:lineRule="auto"/>
              <w:rPr>
                <w:sz w:val="20"/>
                <w:szCs w:val="20"/>
              </w:rPr>
            </w:pPr>
            <w:r w:rsidRPr="00BA625F">
              <w:rPr>
                <w:sz w:val="20"/>
                <w:szCs w:val="20"/>
              </w:rPr>
              <w:t>If a UE</w:t>
            </w:r>
          </w:p>
          <w:p w14:paraId="7997FBD9" w14:textId="77777777" w:rsidR="00674C10" w:rsidRPr="00BA625F" w:rsidRDefault="00674C10" w:rsidP="00BE058E">
            <w:pPr>
              <w:pStyle w:val="B1"/>
              <w:spacing w:after="0" w:line="240" w:lineRule="auto"/>
            </w:pPr>
            <w:r w:rsidRPr="00BA625F">
              <w:t>-</w:t>
            </w:r>
            <w:r w:rsidRPr="00BA625F">
              <w:tab/>
              <w:t xml:space="preserve">is configured with multiple serving cells and is provided </w:t>
            </w:r>
            <w:r w:rsidRPr="00BA625F">
              <w:rPr>
                <w:i/>
                <w:iCs/>
              </w:rPr>
              <w:t xml:space="preserve">half-duplex-behavior </w:t>
            </w:r>
            <w:r w:rsidRPr="00BA625F">
              <w:t>= 'enable', and</w:t>
            </w:r>
          </w:p>
          <w:p w14:paraId="56A599F5" w14:textId="77777777" w:rsidR="00674C10" w:rsidRPr="00BA625F" w:rsidRDefault="00674C10" w:rsidP="00BE058E">
            <w:pPr>
              <w:pStyle w:val="B1"/>
              <w:spacing w:after="0" w:line="240" w:lineRule="auto"/>
            </w:pPr>
            <w:r w:rsidRPr="00BA625F">
              <w:t>-</w:t>
            </w:r>
            <w:r w:rsidRPr="00BA625F">
              <w:tab/>
              <w:t>is not capable of simultaneous transmission and reception on any of the multiple serving cells, and</w:t>
            </w:r>
          </w:p>
          <w:p w14:paraId="2A103C06" w14:textId="77777777" w:rsidR="00674C10" w:rsidRPr="00BA625F" w:rsidRDefault="00674C10" w:rsidP="00BE058E">
            <w:pPr>
              <w:pStyle w:val="B1"/>
              <w:spacing w:after="0" w:line="240" w:lineRule="auto"/>
            </w:pPr>
            <w:r w:rsidRPr="00BA625F">
              <w:t>-</w:t>
            </w:r>
            <w:r w:rsidRPr="00BA625F">
              <w:tab/>
              <w:t xml:space="preserve">indicates support of capability for half-duplex operation in CA with unpaired spectrum, and </w:t>
            </w:r>
          </w:p>
          <w:p w14:paraId="4BDB7ADC" w14:textId="77777777" w:rsidR="00674C10" w:rsidRPr="00BA625F" w:rsidRDefault="00674C10" w:rsidP="00BE058E">
            <w:pPr>
              <w:pStyle w:val="B1"/>
              <w:spacing w:after="0" w:line="240" w:lineRule="auto"/>
            </w:pPr>
            <w:r w:rsidRPr="00BA625F">
              <w:t>-</w:t>
            </w:r>
            <w:r w:rsidRPr="00BA625F">
              <w:tab/>
              <w:t>is not configured to monitor PDCCH for detection of DCI format 2-0</w:t>
            </w:r>
            <w:r w:rsidRPr="00BA625F">
              <w:rPr>
                <w:rFonts w:eastAsia="等线"/>
              </w:rPr>
              <w:t xml:space="preserve"> on any of the multiple serving cells</w:t>
            </w:r>
            <w:r w:rsidRPr="00BA625F">
              <w:t xml:space="preserve">, </w:t>
            </w:r>
          </w:p>
          <w:p w14:paraId="3E052B1B" w14:textId="77777777" w:rsidR="00674C10" w:rsidRPr="00BA625F" w:rsidRDefault="00674C10" w:rsidP="00BE058E">
            <w:pPr>
              <w:spacing w:before="0" w:beforeAutospacing="0" w:after="0" w:line="240" w:lineRule="auto"/>
              <w:rPr>
                <w:sz w:val="20"/>
                <w:szCs w:val="20"/>
              </w:rPr>
            </w:pPr>
            <w:r w:rsidRPr="00BA625F">
              <w:rPr>
                <w:sz w:val="20"/>
                <w:szCs w:val="20"/>
              </w:rPr>
              <w:t>the UE determines a reference cell for a symbol as an active cell with the smallest cell index among serving cells where the symbol is configured as</w:t>
            </w:r>
          </w:p>
          <w:p w14:paraId="675374D6" w14:textId="77777777" w:rsidR="00674C10" w:rsidRPr="00BA625F" w:rsidRDefault="00674C10" w:rsidP="00BE058E">
            <w:pPr>
              <w:pStyle w:val="B1"/>
              <w:spacing w:after="0" w:line="240" w:lineRule="auto"/>
              <w:rPr>
                <w:i/>
                <w:iCs/>
              </w:rPr>
            </w:pPr>
            <w:r w:rsidRPr="00BA625F">
              <w:t>-</w:t>
            </w:r>
            <w:r w:rsidRPr="00BA625F">
              <w:tab/>
              <w:t xml:space="preserve">downlink, or uplink, as indicated by </w:t>
            </w:r>
            <w:proofErr w:type="spellStart"/>
            <w:r w:rsidRPr="00BA625F">
              <w:rPr>
                <w:i/>
                <w:iCs/>
              </w:rPr>
              <w:t>tdd</w:t>
            </w:r>
            <w:proofErr w:type="spellEnd"/>
            <w:r w:rsidRPr="00BA625F">
              <w:rPr>
                <w:i/>
                <w:iCs/>
              </w:rPr>
              <w:t>-UL-DL-</w:t>
            </w:r>
            <w:proofErr w:type="spellStart"/>
            <w:r w:rsidRPr="00BA625F">
              <w:rPr>
                <w:i/>
                <w:iCs/>
              </w:rPr>
              <w:t>ConfigurationCommon</w:t>
            </w:r>
            <w:proofErr w:type="spellEnd"/>
            <w:r w:rsidRPr="00BA625F">
              <w:t xml:space="preserve"> or </w:t>
            </w:r>
            <w:proofErr w:type="spellStart"/>
            <w:r w:rsidRPr="00BA625F">
              <w:rPr>
                <w:i/>
                <w:iCs/>
              </w:rPr>
              <w:t>tdd</w:t>
            </w:r>
            <w:proofErr w:type="spellEnd"/>
            <w:r w:rsidRPr="00BA625F">
              <w:rPr>
                <w:i/>
                <w:iCs/>
              </w:rPr>
              <w:t>-UL-DL-</w:t>
            </w:r>
            <w:proofErr w:type="spellStart"/>
            <w:r w:rsidRPr="00BA625F">
              <w:rPr>
                <w:i/>
                <w:iCs/>
              </w:rPr>
              <w:t>ConfigurationDedicated</w:t>
            </w:r>
            <w:proofErr w:type="spellEnd"/>
          </w:p>
          <w:p w14:paraId="07B62145" w14:textId="77777777" w:rsidR="00674C10" w:rsidRPr="00BA625F" w:rsidRDefault="00674C10" w:rsidP="00BE058E">
            <w:pPr>
              <w:pStyle w:val="B1"/>
              <w:spacing w:after="0" w:line="240" w:lineRule="auto"/>
            </w:pPr>
            <w:r w:rsidRPr="00BA625F">
              <w:t>-</w:t>
            </w:r>
            <w:r w:rsidRPr="00BA625F">
              <w:tab/>
              <w:t>uplink, if the symbol is flexible and the UE is configured to transmit SRS, PUCCH, PUSCH, or PRACH on the symbol</w:t>
            </w:r>
          </w:p>
          <w:p w14:paraId="4D2EC5A0" w14:textId="77777777" w:rsidR="00674C10" w:rsidRDefault="00674C10" w:rsidP="00BE058E">
            <w:pPr>
              <w:pStyle w:val="B1"/>
              <w:spacing w:after="0" w:line="240" w:lineRule="auto"/>
            </w:pPr>
            <w:r w:rsidRPr="00BA625F">
              <w:t>-</w:t>
            </w:r>
            <w:r w:rsidRPr="00BA625F">
              <w:tab/>
              <w:t>downlink, if the symbol is flexible and the UE is configured to receive PDCCH, PDSCH or CSI-RS on the symbol</w:t>
            </w:r>
          </w:p>
          <w:p w14:paraId="675175D2" w14:textId="77777777" w:rsidR="00674C10" w:rsidRDefault="00674C10" w:rsidP="00674C10">
            <w:pPr>
              <w:pStyle w:val="B1"/>
              <w:spacing w:after="0" w:line="240" w:lineRule="auto"/>
              <w:rPr>
                <w:color w:val="FF0000"/>
                <w:u w:val="single"/>
              </w:rPr>
            </w:pPr>
            <w:r w:rsidRPr="00674C10">
              <w:rPr>
                <w:color w:val="FF0000"/>
                <w:u w:val="single"/>
              </w:rPr>
              <w:t>-</w:t>
            </w:r>
            <w:r w:rsidRPr="00674C10">
              <w:rPr>
                <w:color w:val="FF0000"/>
                <w:u w:val="single"/>
              </w:rPr>
              <w:tab/>
              <w:t>flexible, if the symbol is flexible and the UE is configured to transmit SRS, PUCCH, PUSCH, or PRACH or  receive PDCCH, PDSCH or CSI-RS on the symbol</w:t>
            </w:r>
          </w:p>
          <w:p w14:paraId="7126FA47" w14:textId="442C01E5" w:rsidR="00674C10" w:rsidRPr="00674C10" w:rsidRDefault="00674C10" w:rsidP="00674C10">
            <w:pPr>
              <w:pStyle w:val="B1"/>
              <w:spacing w:after="0" w:line="240" w:lineRule="auto"/>
              <w:rPr>
                <w:u w:val="single"/>
              </w:rPr>
            </w:pPr>
          </w:p>
        </w:tc>
      </w:tr>
    </w:tbl>
    <w:p w14:paraId="7E9EE31D" w14:textId="77777777" w:rsidR="00674C10" w:rsidRDefault="00674C10">
      <w:pPr>
        <w:rPr>
          <w:sz w:val="20"/>
          <w:szCs w:val="20"/>
          <w:lang w:val="en-GB"/>
        </w:rPr>
      </w:pPr>
    </w:p>
    <w:p w14:paraId="4ACCEEBE" w14:textId="77777777" w:rsidR="00BE058E" w:rsidRPr="00BE058E" w:rsidRDefault="00BE058E" w:rsidP="00BE058E">
      <w:pPr>
        <w:jc w:val="both"/>
        <w:rPr>
          <w:b/>
          <w:sz w:val="20"/>
          <w:szCs w:val="20"/>
          <w:u w:val="single"/>
          <w:lang w:val="en-GB"/>
        </w:rPr>
      </w:pPr>
      <w:r w:rsidRPr="00BE058E">
        <w:rPr>
          <w:b/>
          <w:sz w:val="20"/>
          <w:szCs w:val="20"/>
          <w:u w:val="single"/>
          <w:lang w:val="en-GB"/>
        </w:rPr>
        <w:t>Issue-2: Whether the prioritization rule is applied per CG or per carrier pair.</w:t>
      </w:r>
    </w:p>
    <w:p w14:paraId="37FEF36A" w14:textId="1F503D75" w:rsidR="00BE058E" w:rsidRDefault="00BE058E" w:rsidP="00BD0E89">
      <w:pPr>
        <w:jc w:val="both"/>
        <w:rPr>
          <w:sz w:val="20"/>
          <w:szCs w:val="20"/>
          <w:lang w:val="en-GB"/>
        </w:rPr>
      </w:pPr>
      <w:r>
        <w:rPr>
          <w:rFonts w:hint="eastAsia"/>
          <w:sz w:val="20"/>
          <w:szCs w:val="20"/>
          <w:lang w:val="en-GB"/>
        </w:rPr>
        <w:t>I</w:t>
      </w:r>
      <w:r>
        <w:rPr>
          <w:sz w:val="20"/>
          <w:szCs w:val="20"/>
          <w:lang w:val="en-GB"/>
        </w:rPr>
        <w:t xml:space="preserve">f the reference is updated symbol by symbol, then per CG based and per carrier pair based prioritization rule may end up with different UE behaviours. However, if the reference is fixated by taking the flexible symbol not configured for transmission/reception into account, it seems that per CG based and per carrier pair based prioritization rule lead to the same UE behaviours. </w:t>
      </w:r>
    </w:p>
    <w:p w14:paraId="64527802" w14:textId="0EDE21A1" w:rsidR="00BE058E" w:rsidRDefault="00BE058E" w:rsidP="00BD0E89">
      <w:pPr>
        <w:jc w:val="both"/>
        <w:rPr>
          <w:sz w:val="20"/>
          <w:szCs w:val="20"/>
          <w:lang w:val="en-GB"/>
        </w:rPr>
      </w:pPr>
      <w:r>
        <w:rPr>
          <w:sz w:val="20"/>
          <w:szCs w:val="20"/>
          <w:lang w:val="en-GB"/>
        </w:rPr>
        <w:t>Implementation wise, the network or UE will conduct this by comparing each cell with reference cell. But it seems there is no need to specify anything for this issue.</w:t>
      </w:r>
    </w:p>
    <w:p w14:paraId="005E750C" w14:textId="59B6FE8B" w:rsidR="00BD0E89" w:rsidRPr="00BD0E89" w:rsidRDefault="00BD0E89" w:rsidP="00BD0E89">
      <w:pPr>
        <w:jc w:val="both"/>
        <w:rPr>
          <w:i/>
          <w:sz w:val="20"/>
          <w:szCs w:val="20"/>
          <w:lang w:val="en-GB"/>
        </w:rPr>
      </w:pPr>
      <w:r w:rsidRPr="00BD0E89">
        <w:rPr>
          <w:b/>
          <w:i/>
          <w:sz w:val="20"/>
          <w:szCs w:val="20"/>
          <w:lang w:val="en-GB"/>
        </w:rPr>
        <w:t>Observation-1</w:t>
      </w:r>
      <w:r w:rsidRPr="00BD0E89">
        <w:rPr>
          <w:i/>
          <w:sz w:val="20"/>
          <w:szCs w:val="20"/>
          <w:lang w:val="en-GB"/>
        </w:rPr>
        <w:t>: If the reference cell is semi-static configured/determined, per CG based and per carrier pair based prioritization rule lead to the same UE behaviours.</w:t>
      </w:r>
    </w:p>
    <w:p w14:paraId="79BB3332" w14:textId="77777777" w:rsidR="00BE058E" w:rsidRDefault="00BE058E">
      <w:pPr>
        <w:rPr>
          <w:sz w:val="20"/>
          <w:szCs w:val="20"/>
          <w:lang w:val="en-GB"/>
        </w:rPr>
      </w:pPr>
    </w:p>
    <w:p w14:paraId="1033D650" w14:textId="786FF29C" w:rsidR="00BA625F" w:rsidRPr="00BD0E89" w:rsidRDefault="00BE058E" w:rsidP="00BD0E89">
      <w:pPr>
        <w:jc w:val="both"/>
        <w:rPr>
          <w:b/>
          <w:sz w:val="20"/>
          <w:szCs w:val="20"/>
          <w:u w:val="single"/>
          <w:lang w:val="en-GB"/>
        </w:rPr>
      </w:pPr>
      <w:r w:rsidRPr="00BD0E89">
        <w:rPr>
          <w:b/>
          <w:sz w:val="20"/>
          <w:szCs w:val="20"/>
          <w:u w:val="single"/>
          <w:lang w:val="en-GB"/>
        </w:rPr>
        <w:t xml:space="preserve">Issue-3: Whether the dropping rule can be applied to intra-band case.  </w:t>
      </w:r>
    </w:p>
    <w:p w14:paraId="7E6E7AF8" w14:textId="49BE7ABF" w:rsidR="00BE058E" w:rsidRDefault="00BD0E89" w:rsidP="00BD0E89">
      <w:pPr>
        <w:jc w:val="both"/>
        <w:rPr>
          <w:sz w:val="20"/>
          <w:szCs w:val="20"/>
          <w:lang w:val="en-GB"/>
        </w:rPr>
      </w:pPr>
      <w:r>
        <w:rPr>
          <w:sz w:val="20"/>
          <w:szCs w:val="20"/>
          <w:lang w:val="en-GB"/>
        </w:rPr>
        <w:t>It seems that companies have different understandings on this issue. Actually, half-duplex intra-band CA and half-duplex inter-band CA may require different requirements. Maybe it is better to clarify whether new UE feature is needed for half-duplex intra-band CA</w:t>
      </w:r>
      <w:r w:rsidR="000D24E9">
        <w:rPr>
          <w:sz w:val="20"/>
          <w:szCs w:val="20"/>
          <w:lang w:val="en-GB"/>
        </w:rPr>
        <w:t xml:space="preserve"> first</w:t>
      </w:r>
      <w:r>
        <w:rPr>
          <w:sz w:val="20"/>
          <w:szCs w:val="20"/>
          <w:lang w:val="en-GB"/>
        </w:rPr>
        <w:t>.</w:t>
      </w:r>
    </w:p>
    <w:p w14:paraId="2FB16FD0" w14:textId="77777777" w:rsidR="00BA625F" w:rsidRPr="00981399" w:rsidRDefault="00BA625F">
      <w:pPr>
        <w:rPr>
          <w:sz w:val="20"/>
          <w:szCs w:val="20"/>
          <w:lang w:val="en-GB"/>
        </w:rPr>
      </w:pPr>
    </w:p>
    <w:p w14:paraId="123EA2CC" w14:textId="77777777" w:rsidR="00B65643" w:rsidRDefault="00545454">
      <w:pPr>
        <w:pStyle w:val="1"/>
        <w:rPr>
          <w:lang w:eastAsia="zh-CN"/>
        </w:rPr>
      </w:pPr>
      <w:r>
        <w:rPr>
          <w:rFonts w:hint="eastAsia"/>
          <w:lang w:eastAsia="zh-CN"/>
        </w:rPr>
        <w:t>C</w:t>
      </w:r>
      <w:r>
        <w:rPr>
          <w:lang w:eastAsia="zh-CN"/>
        </w:rPr>
        <w:t>onclusion</w:t>
      </w:r>
    </w:p>
    <w:p w14:paraId="0B710FB8" w14:textId="29B656B4" w:rsidR="00E30F1C" w:rsidRDefault="00E30F1C" w:rsidP="00E30F1C">
      <w:pPr>
        <w:rPr>
          <w:sz w:val="20"/>
          <w:szCs w:val="20"/>
          <w:lang w:val="en-GB"/>
        </w:rPr>
      </w:pPr>
      <w:r w:rsidRPr="00E30F1C">
        <w:rPr>
          <w:rFonts w:hint="eastAsia"/>
          <w:sz w:val="20"/>
          <w:szCs w:val="20"/>
          <w:lang w:val="en-GB"/>
        </w:rPr>
        <w:t>I</w:t>
      </w:r>
      <w:r w:rsidRPr="00E30F1C">
        <w:rPr>
          <w:sz w:val="20"/>
          <w:szCs w:val="20"/>
          <w:lang w:val="en-GB"/>
        </w:rPr>
        <w:t xml:space="preserve">n this contribution, </w:t>
      </w:r>
      <w:r w:rsidR="000D24E9">
        <w:rPr>
          <w:sz w:val="20"/>
          <w:szCs w:val="20"/>
          <w:lang w:val="en-GB"/>
        </w:rPr>
        <w:t>we present our analysis and views for remaining issues of half-duplex CA with the following TP and observation.</w:t>
      </w:r>
    </w:p>
    <w:p w14:paraId="4F16DB56" w14:textId="77777777" w:rsidR="001B57C1" w:rsidRPr="001B57C1" w:rsidRDefault="001B57C1" w:rsidP="001B57C1">
      <w:pPr>
        <w:jc w:val="both"/>
        <w:rPr>
          <w:i/>
          <w:sz w:val="20"/>
          <w:szCs w:val="20"/>
          <w:lang w:val="en-GB"/>
        </w:rPr>
      </w:pPr>
      <w:r w:rsidRPr="001B57C1">
        <w:rPr>
          <w:b/>
          <w:i/>
          <w:sz w:val="20"/>
          <w:szCs w:val="20"/>
          <w:lang w:val="en-GB"/>
        </w:rPr>
        <w:t>Proposal-1</w:t>
      </w:r>
      <w:r w:rsidRPr="001B57C1">
        <w:rPr>
          <w:i/>
          <w:sz w:val="20"/>
          <w:szCs w:val="20"/>
          <w:lang w:val="en-GB"/>
        </w:rPr>
        <w:t>: Introduce the following TP for Section 11.1 of TS38.213.</w:t>
      </w:r>
    </w:p>
    <w:tbl>
      <w:tblPr>
        <w:tblStyle w:val="af4"/>
        <w:tblW w:w="0" w:type="auto"/>
        <w:tblLook w:val="04A0" w:firstRow="1" w:lastRow="0" w:firstColumn="1" w:lastColumn="0" w:noHBand="0" w:noVBand="1"/>
      </w:tblPr>
      <w:tblGrid>
        <w:gridCol w:w="9628"/>
      </w:tblGrid>
      <w:tr w:rsidR="001B57C1" w14:paraId="63B1E34C" w14:textId="77777777" w:rsidTr="001C3ECA">
        <w:tc>
          <w:tcPr>
            <w:tcW w:w="9628" w:type="dxa"/>
          </w:tcPr>
          <w:p w14:paraId="3AE94749" w14:textId="77777777" w:rsidR="001B57C1" w:rsidRPr="00BA625F" w:rsidRDefault="001B57C1" w:rsidP="001C3ECA">
            <w:pPr>
              <w:spacing w:before="0" w:beforeAutospacing="0" w:after="0" w:line="240" w:lineRule="auto"/>
              <w:rPr>
                <w:sz w:val="20"/>
                <w:szCs w:val="20"/>
              </w:rPr>
            </w:pPr>
            <w:r w:rsidRPr="00BA625F">
              <w:rPr>
                <w:sz w:val="20"/>
                <w:szCs w:val="20"/>
              </w:rPr>
              <w:t>If a UE</w:t>
            </w:r>
          </w:p>
          <w:p w14:paraId="22609B94" w14:textId="77777777" w:rsidR="001B57C1" w:rsidRPr="00BA625F" w:rsidRDefault="001B57C1" w:rsidP="001C3ECA">
            <w:pPr>
              <w:pStyle w:val="B1"/>
              <w:spacing w:after="0" w:line="240" w:lineRule="auto"/>
            </w:pPr>
            <w:r w:rsidRPr="00BA625F">
              <w:t>-</w:t>
            </w:r>
            <w:r w:rsidRPr="00BA625F">
              <w:tab/>
              <w:t xml:space="preserve">is configured with multiple serving cells and is provided </w:t>
            </w:r>
            <w:r w:rsidRPr="00BA625F">
              <w:rPr>
                <w:i/>
                <w:iCs/>
              </w:rPr>
              <w:t xml:space="preserve">half-duplex-behavior </w:t>
            </w:r>
            <w:r w:rsidRPr="00BA625F">
              <w:t>= 'enable', and</w:t>
            </w:r>
          </w:p>
          <w:p w14:paraId="6F3D515B" w14:textId="77777777" w:rsidR="001B57C1" w:rsidRPr="00BA625F" w:rsidRDefault="001B57C1" w:rsidP="001C3ECA">
            <w:pPr>
              <w:pStyle w:val="B1"/>
              <w:spacing w:after="0" w:line="240" w:lineRule="auto"/>
            </w:pPr>
            <w:r w:rsidRPr="00BA625F">
              <w:t>-</w:t>
            </w:r>
            <w:r w:rsidRPr="00BA625F">
              <w:tab/>
              <w:t>is not capable of simultaneous transmission and reception on any of the multiple serving cells, and</w:t>
            </w:r>
          </w:p>
          <w:p w14:paraId="1E671309" w14:textId="77777777" w:rsidR="001B57C1" w:rsidRPr="00BA625F" w:rsidRDefault="001B57C1" w:rsidP="001C3ECA">
            <w:pPr>
              <w:pStyle w:val="B1"/>
              <w:spacing w:after="0" w:line="240" w:lineRule="auto"/>
            </w:pPr>
            <w:r w:rsidRPr="00BA625F">
              <w:t>-</w:t>
            </w:r>
            <w:r w:rsidRPr="00BA625F">
              <w:tab/>
              <w:t xml:space="preserve">indicates support of capability for half-duplex operation in CA with unpaired spectrum, and </w:t>
            </w:r>
          </w:p>
          <w:p w14:paraId="73520739" w14:textId="77777777" w:rsidR="001B57C1" w:rsidRPr="00BA625F" w:rsidRDefault="001B57C1" w:rsidP="001C3ECA">
            <w:pPr>
              <w:pStyle w:val="B1"/>
              <w:spacing w:after="0" w:line="240" w:lineRule="auto"/>
            </w:pPr>
            <w:r w:rsidRPr="00BA625F">
              <w:t>-</w:t>
            </w:r>
            <w:r w:rsidRPr="00BA625F">
              <w:tab/>
              <w:t>is not configured to monitor PDCCH for detection of DCI format 2-0</w:t>
            </w:r>
            <w:r w:rsidRPr="00BA625F">
              <w:rPr>
                <w:rFonts w:eastAsia="等线"/>
              </w:rPr>
              <w:t xml:space="preserve"> on any of the multiple serving cells</w:t>
            </w:r>
            <w:r w:rsidRPr="00BA625F">
              <w:t xml:space="preserve">, </w:t>
            </w:r>
          </w:p>
          <w:p w14:paraId="2CEC166F" w14:textId="77777777" w:rsidR="001B57C1" w:rsidRPr="00BA625F" w:rsidRDefault="001B57C1" w:rsidP="001C3ECA">
            <w:pPr>
              <w:spacing w:before="0" w:beforeAutospacing="0" w:after="0" w:line="240" w:lineRule="auto"/>
              <w:rPr>
                <w:sz w:val="20"/>
                <w:szCs w:val="20"/>
              </w:rPr>
            </w:pPr>
            <w:r w:rsidRPr="00BA625F">
              <w:rPr>
                <w:sz w:val="20"/>
                <w:szCs w:val="20"/>
              </w:rPr>
              <w:t>the UE determines a reference cell for a symbol as an active cell with the smallest cell index among serving cells where the symbol is configured as</w:t>
            </w:r>
          </w:p>
          <w:p w14:paraId="78257C8F" w14:textId="77777777" w:rsidR="001B57C1" w:rsidRPr="00BA625F" w:rsidRDefault="001B57C1" w:rsidP="001C3ECA">
            <w:pPr>
              <w:pStyle w:val="B1"/>
              <w:spacing w:after="0" w:line="240" w:lineRule="auto"/>
              <w:rPr>
                <w:i/>
                <w:iCs/>
              </w:rPr>
            </w:pPr>
            <w:r w:rsidRPr="00BA625F">
              <w:lastRenderedPageBreak/>
              <w:t>-</w:t>
            </w:r>
            <w:r w:rsidRPr="00BA625F">
              <w:tab/>
              <w:t xml:space="preserve">downlink, or uplink, as indicated by </w:t>
            </w:r>
            <w:proofErr w:type="spellStart"/>
            <w:r w:rsidRPr="00BA625F">
              <w:rPr>
                <w:i/>
                <w:iCs/>
              </w:rPr>
              <w:t>tdd</w:t>
            </w:r>
            <w:proofErr w:type="spellEnd"/>
            <w:r w:rsidRPr="00BA625F">
              <w:rPr>
                <w:i/>
                <w:iCs/>
              </w:rPr>
              <w:t>-UL-DL-</w:t>
            </w:r>
            <w:proofErr w:type="spellStart"/>
            <w:r w:rsidRPr="00BA625F">
              <w:rPr>
                <w:i/>
                <w:iCs/>
              </w:rPr>
              <w:t>ConfigurationCommon</w:t>
            </w:r>
            <w:proofErr w:type="spellEnd"/>
            <w:r w:rsidRPr="00BA625F">
              <w:t xml:space="preserve"> or </w:t>
            </w:r>
            <w:proofErr w:type="spellStart"/>
            <w:r w:rsidRPr="00BA625F">
              <w:rPr>
                <w:i/>
                <w:iCs/>
              </w:rPr>
              <w:t>tdd</w:t>
            </w:r>
            <w:proofErr w:type="spellEnd"/>
            <w:r w:rsidRPr="00BA625F">
              <w:rPr>
                <w:i/>
                <w:iCs/>
              </w:rPr>
              <w:t>-UL-DL-</w:t>
            </w:r>
            <w:proofErr w:type="spellStart"/>
            <w:r w:rsidRPr="00BA625F">
              <w:rPr>
                <w:i/>
                <w:iCs/>
              </w:rPr>
              <w:t>ConfigurationDedicated</w:t>
            </w:r>
            <w:proofErr w:type="spellEnd"/>
          </w:p>
          <w:p w14:paraId="51286ACA" w14:textId="77777777" w:rsidR="001B57C1" w:rsidRPr="00BA625F" w:rsidRDefault="001B57C1" w:rsidP="001C3ECA">
            <w:pPr>
              <w:pStyle w:val="B1"/>
              <w:spacing w:after="0" w:line="240" w:lineRule="auto"/>
            </w:pPr>
            <w:r w:rsidRPr="00BA625F">
              <w:t>-</w:t>
            </w:r>
            <w:r w:rsidRPr="00BA625F">
              <w:tab/>
              <w:t>uplink, if the symbol is flexible and the UE is configured to transmit SRS, PUCCH, PUSCH, or PRACH on the symbol</w:t>
            </w:r>
          </w:p>
          <w:p w14:paraId="1695B681" w14:textId="77777777" w:rsidR="001B57C1" w:rsidRDefault="001B57C1" w:rsidP="001C3ECA">
            <w:pPr>
              <w:pStyle w:val="B1"/>
              <w:spacing w:after="0" w:line="240" w:lineRule="auto"/>
            </w:pPr>
            <w:r w:rsidRPr="00BA625F">
              <w:t>-</w:t>
            </w:r>
            <w:r w:rsidRPr="00BA625F">
              <w:tab/>
              <w:t>downlink, if the symbol is flexible and the UE is configured to receive PDCCH, PDSCH or CSI-RS on the symbol</w:t>
            </w:r>
          </w:p>
          <w:p w14:paraId="088734A7" w14:textId="77777777" w:rsidR="001B57C1" w:rsidRDefault="001B57C1" w:rsidP="001C3ECA">
            <w:pPr>
              <w:pStyle w:val="B1"/>
              <w:spacing w:after="0" w:line="240" w:lineRule="auto"/>
              <w:rPr>
                <w:color w:val="FF0000"/>
                <w:u w:val="single"/>
              </w:rPr>
            </w:pPr>
            <w:r w:rsidRPr="00674C10">
              <w:rPr>
                <w:color w:val="FF0000"/>
                <w:u w:val="single"/>
              </w:rPr>
              <w:t>-</w:t>
            </w:r>
            <w:r w:rsidRPr="00674C10">
              <w:rPr>
                <w:color w:val="FF0000"/>
                <w:u w:val="single"/>
              </w:rPr>
              <w:tab/>
              <w:t>flexible, if the symbol is flexible and the UE is configured to transmit SRS, PUCCH, PUSCH, or PRACH or  receive PDCCH, PDSCH or CSI-RS on the symbol</w:t>
            </w:r>
          </w:p>
          <w:p w14:paraId="45FBB093" w14:textId="77777777" w:rsidR="001B57C1" w:rsidRPr="00674C10" w:rsidRDefault="001B57C1" w:rsidP="001C3ECA">
            <w:pPr>
              <w:pStyle w:val="B1"/>
              <w:spacing w:after="0" w:line="240" w:lineRule="auto"/>
              <w:rPr>
                <w:u w:val="single"/>
              </w:rPr>
            </w:pPr>
          </w:p>
        </w:tc>
      </w:tr>
    </w:tbl>
    <w:p w14:paraId="07784C35" w14:textId="77777777" w:rsidR="001B57C1" w:rsidRPr="00BD0E89" w:rsidRDefault="001B57C1" w:rsidP="001B57C1">
      <w:pPr>
        <w:jc w:val="both"/>
        <w:rPr>
          <w:i/>
          <w:sz w:val="20"/>
          <w:szCs w:val="20"/>
          <w:lang w:val="en-GB"/>
        </w:rPr>
      </w:pPr>
      <w:r w:rsidRPr="00BD0E89">
        <w:rPr>
          <w:b/>
          <w:i/>
          <w:sz w:val="20"/>
          <w:szCs w:val="20"/>
          <w:lang w:val="en-GB"/>
        </w:rPr>
        <w:lastRenderedPageBreak/>
        <w:t>Observation-1</w:t>
      </w:r>
      <w:r w:rsidRPr="00BD0E89">
        <w:rPr>
          <w:i/>
          <w:sz w:val="20"/>
          <w:szCs w:val="20"/>
          <w:lang w:val="en-GB"/>
        </w:rPr>
        <w:t>: If the reference cell is semi-static configured/determined, per CG based and per carrier pair based prioritization rule lead to the same UE behaviours.</w:t>
      </w:r>
    </w:p>
    <w:p w14:paraId="44B5F63D" w14:textId="77777777" w:rsidR="00E45100" w:rsidRPr="00E30F1C" w:rsidRDefault="00E45100" w:rsidP="00E30F1C">
      <w:pPr>
        <w:rPr>
          <w:sz w:val="20"/>
          <w:szCs w:val="20"/>
          <w:lang w:val="en-GB"/>
        </w:rPr>
      </w:pPr>
    </w:p>
    <w:p w14:paraId="54226074" w14:textId="77777777" w:rsidR="00B65643" w:rsidRDefault="00545454">
      <w:pPr>
        <w:pStyle w:val="1"/>
        <w:rPr>
          <w:lang w:eastAsia="zh-CN"/>
        </w:rPr>
      </w:pPr>
      <w:r>
        <w:rPr>
          <w:rFonts w:hint="eastAsia"/>
          <w:lang w:eastAsia="zh-CN"/>
        </w:rPr>
        <w:t>R</w:t>
      </w:r>
      <w:r>
        <w:rPr>
          <w:lang w:eastAsia="zh-CN"/>
        </w:rPr>
        <w:t>eference</w:t>
      </w:r>
    </w:p>
    <w:p w14:paraId="45DB1922" w14:textId="143A25D9" w:rsidR="00B65643" w:rsidRDefault="00D858CC" w:rsidP="00D858CC">
      <w:pPr>
        <w:pStyle w:val="a"/>
        <w:numPr>
          <w:ilvl w:val="0"/>
          <w:numId w:val="15"/>
        </w:numPr>
        <w:rPr>
          <w:lang w:eastAsia="zh-CN"/>
        </w:rPr>
      </w:pPr>
      <w:r w:rsidRPr="00D858CC">
        <w:rPr>
          <w:lang w:eastAsia="zh-CN"/>
        </w:rPr>
        <w:t>R1-2101596</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D858CC">
        <w:rPr>
          <w:lang w:eastAsia="zh-CN"/>
        </w:rPr>
        <w:t>Summary on Rel-16 NR TEI related discussion</w:t>
      </w:r>
      <w:r>
        <w:rPr>
          <w:lang w:eastAsia="zh-CN"/>
        </w:rPr>
        <w:t xml:space="preserve">, </w:t>
      </w:r>
      <w:r w:rsidRPr="00D858CC">
        <w:rPr>
          <w:lang w:eastAsia="zh-CN"/>
        </w:rPr>
        <w:t>Moderator (NTT DOCOMO, INC.)</w:t>
      </w:r>
    </w:p>
    <w:sectPr w:rsidR="00B65643">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A1526" w14:textId="77777777" w:rsidR="00875756" w:rsidRDefault="00875756">
      <w:pPr>
        <w:spacing w:after="0"/>
      </w:pPr>
      <w:r>
        <w:separator/>
      </w:r>
    </w:p>
  </w:endnote>
  <w:endnote w:type="continuationSeparator" w:id="0">
    <w:p w14:paraId="4E56806D" w14:textId="77777777" w:rsidR="00875756" w:rsidRDefault="008757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E058E" w:rsidRDefault="00BE058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E058E" w:rsidRDefault="00BE058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E058E" w:rsidRDefault="00BE058E">
    <w:pPr>
      <w:pStyle w:val="ad"/>
      <w:ind w:right="360"/>
    </w:pPr>
    <w:r>
      <w:rPr>
        <w:rStyle w:val="af6"/>
      </w:rPr>
      <w:fldChar w:fldCharType="begin"/>
    </w:r>
    <w:r>
      <w:rPr>
        <w:rStyle w:val="af6"/>
      </w:rPr>
      <w:instrText xml:space="preserve"> PAGE </w:instrText>
    </w:r>
    <w:r>
      <w:rPr>
        <w:rStyle w:val="af6"/>
      </w:rPr>
      <w:fldChar w:fldCharType="separate"/>
    </w:r>
    <w:r w:rsidR="00EB0843">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B0843">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47D2C" w14:textId="77777777" w:rsidR="00875756" w:rsidRDefault="00875756">
      <w:pPr>
        <w:spacing w:after="0"/>
      </w:pPr>
      <w:r>
        <w:separator/>
      </w:r>
    </w:p>
  </w:footnote>
  <w:footnote w:type="continuationSeparator" w:id="0">
    <w:p w14:paraId="01A57AF5" w14:textId="77777777" w:rsidR="00875756" w:rsidRDefault="008757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E058E" w:rsidRDefault="00BE058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DF32F29"/>
    <w:multiLevelType w:val="hybridMultilevel"/>
    <w:tmpl w:val="02085B8A"/>
    <w:lvl w:ilvl="0" w:tplc="5488359E">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12"/>
  </w:num>
  <w:num w:numId="4">
    <w:abstractNumId w:val="7"/>
  </w:num>
  <w:num w:numId="5">
    <w:abstractNumId w:val="15"/>
  </w:num>
  <w:num w:numId="6">
    <w:abstractNumId w:val="10"/>
  </w:num>
  <w:num w:numId="7">
    <w:abstractNumId w:val="6"/>
  </w:num>
  <w:num w:numId="8">
    <w:abstractNumId w:val="14"/>
  </w:num>
  <w:num w:numId="9">
    <w:abstractNumId w:val="13"/>
  </w:num>
  <w:num w:numId="10">
    <w:abstractNumId w:val="3"/>
  </w:num>
  <w:num w:numId="11">
    <w:abstractNumId w:val="9"/>
  </w:num>
  <w:num w:numId="12">
    <w:abstractNumId w:val="11"/>
  </w:num>
  <w:num w:numId="13">
    <w:abstractNumId w:val="4"/>
  </w:num>
  <w:num w:numId="14">
    <w:abstractNumId w:val="8"/>
  </w:num>
  <w:num w:numId="15">
    <w:abstractNumId w:val="1"/>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4E9"/>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7C1"/>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9FF"/>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8F8"/>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DCF"/>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97"/>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091"/>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364"/>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48"/>
    <w:rsid w:val="00527A58"/>
    <w:rsid w:val="00527DA3"/>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1FD6"/>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035"/>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EA3"/>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C1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4A5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73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756"/>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981"/>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39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7DE"/>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0E31"/>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C32"/>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5921"/>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25F"/>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A9"/>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E89"/>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58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5F3"/>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8CC"/>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4E2"/>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E85"/>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96D"/>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2E6F"/>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1C"/>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3"/>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100"/>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8FB"/>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3F39"/>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843"/>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4FC9"/>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40"/>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497"/>
    <w:pPr>
      <w:spacing w:before="100" w:beforeAutospacing="1" w:after="180"/>
    </w:pPr>
    <w:rPr>
      <w:sz w:val="24"/>
      <w:szCs w:val="24"/>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uiPriority w:val="99"/>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overflowPunct w:val="0"/>
      <w:autoSpaceDE w:val="0"/>
      <w:autoSpaceDN w:val="0"/>
      <w:adjustRightInd w:val="0"/>
      <w:spacing w:before="0" w:beforeAutospacing="0"/>
      <w:ind w:left="568" w:hanging="284"/>
      <w:jc w:val="both"/>
      <w:textAlignment w:val="baseline"/>
    </w:pPr>
    <w:rPr>
      <w:sz w:val="20"/>
      <w:szCs w:val="20"/>
      <w:lang w:eastAsia="en-US"/>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overflowPunct w:val="0"/>
      <w:autoSpaceDE w:val="0"/>
      <w:autoSpaceDN w:val="0"/>
      <w:adjustRightInd w:val="0"/>
      <w:spacing w:before="120" w:beforeAutospacing="0" w:after="360"/>
      <w:jc w:val="center"/>
      <w:textAlignment w:val="baseline"/>
    </w:pPr>
    <w:rPr>
      <w:bCs/>
      <w:i/>
      <w:sz w:val="20"/>
      <w:szCs w:val="20"/>
      <w:lang w:eastAsia="en-U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pPr>
      <w:overflowPunct w:val="0"/>
      <w:autoSpaceDE w:val="0"/>
      <w:autoSpaceDN w:val="0"/>
      <w:adjustRightInd w:val="0"/>
      <w:spacing w:before="0" w:beforeAutospacing="0"/>
      <w:jc w:val="both"/>
      <w:textAlignment w:val="baseline"/>
    </w:pPr>
    <w:rPr>
      <w:sz w:val="20"/>
      <w:szCs w:val="20"/>
    </w:rPr>
  </w:style>
  <w:style w:type="paragraph" w:styleId="33">
    <w:name w:val="Body Text 3"/>
    <w:basedOn w:val="a0"/>
    <w:qFormat/>
    <w:pPr>
      <w:overflowPunct w:val="0"/>
      <w:autoSpaceDE w:val="0"/>
      <w:autoSpaceDN w:val="0"/>
      <w:adjustRightInd w:val="0"/>
      <w:spacing w:before="0" w:beforeAutospacing="0"/>
      <w:jc w:val="both"/>
      <w:textAlignment w:val="baseline"/>
    </w:pPr>
    <w:rPr>
      <w:i/>
      <w:sz w:val="20"/>
      <w:szCs w:val="20"/>
      <w:lang w:eastAsia="en-US"/>
    </w:rPr>
  </w:style>
  <w:style w:type="paragraph" w:styleId="aa">
    <w:name w:val="Body Text"/>
    <w:basedOn w:val="a0"/>
    <w:link w:val="Char1"/>
    <w:qFormat/>
    <w:pPr>
      <w:overflowPunct w:val="0"/>
      <w:autoSpaceDE w:val="0"/>
      <w:autoSpaceDN w:val="0"/>
      <w:adjustRightInd w:val="0"/>
      <w:spacing w:before="0" w:beforeAutospacing="0" w:after="120"/>
      <w:jc w:val="both"/>
      <w:textAlignment w:val="baseline"/>
    </w:pPr>
    <w:rPr>
      <w:sz w:val="22"/>
      <w:lang w:eastAsia="en-US"/>
    </w:rPr>
  </w:style>
  <w:style w:type="paragraph" w:styleId="ab">
    <w:name w:val="Body Text Indent"/>
    <w:basedOn w:val="a0"/>
    <w:qFormat/>
    <w:pPr>
      <w:overflowPunct w:val="0"/>
      <w:autoSpaceDE w:val="0"/>
      <w:autoSpaceDN w:val="0"/>
      <w:adjustRightInd w:val="0"/>
      <w:spacing w:before="240" w:beforeAutospacing="0" w:line="240" w:lineRule="exact"/>
      <w:ind w:firstLineChars="400" w:firstLine="960"/>
      <w:jc w:val="both"/>
      <w:textAlignment w:val="baseline"/>
    </w:pPr>
    <w:rPr>
      <w:rFonts w:eastAsia="楷体_GB2312"/>
      <w:szCs w:val="20"/>
      <w:lang w:eastAsia="en-US"/>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overflowPunct w:val="0"/>
      <w:autoSpaceDE w:val="0"/>
      <w:autoSpaceDN w:val="0"/>
      <w:adjustRightInd w:val="0"/>
      <w:spacing w:before="0" w:beforeAutospacing="0" w:after="60"/>
      <w:jc w:val="center"/>
      <w:textAlignment w:val="baseline"/>
      <w:outlineLvl w:val="1"/>
    </w:pPr>
    <w:rPr>
      <w:rFonts w:ascii="Cambria" w:hAnsi="Cambria"/>
      <w:lang w:eastAsia="en-US"/>
    </w:rPr>
  </w:style>
  <w:style w:type="paragraph" w:styleId="af0">
    <w:name w:val="footnote text"/>
    <w:basedOn w:val="a0"/>
    <w:semiHidden/>
    <w:qFormat/>
    <w:pPr>
      <w:keepLines/>
      <w:overflowPunct w:val="0"/>
      <w:autoSpaceDE w:val="0"/>
      <w:autoSpaceDN w:val="0"/>
      <w:adjustRightInd w:val="0"/>
      <w:spacing w:before="0" w:beforeAutospacing="0" w:after="0"/>
      <w:ind w:left="454" w:hanging="454"/>
      <w:jc w:val="both"/>
      <w:textAlignment w:val="baseline"/>
    </w:pPr>
    <w:rPr>
      <w:sz w:val="16"/>
      <w:szCs w:val="20"/>
      <w:lang w:eastAsia="en-US"/>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overflowPunct w:val="0"/>
      <w:autoSpaceDE w:val="0"/>
      <w:autoSpaceDN w:val="0"/>
      <w:adjustRightInd w:val="0"/>
      <w:spacing w:before="120" w:beforeAutospacing="0" w:after="120"/>
      <w:jc w:val="both"/>
      <w:textAlignment w:val="baseline"/>
    </w:pPr>
    <w:rPr>
      <w:sz w:val="20"/>
      <w:szCs w:val="20"/>
      <w:lang w:eastAsia="en-US"/>
    </w:rPr>
  </w:style>
  <w:style w:type="paragraph" w:styleId="90">
    <w:name w:val="toc 9"/>
    <w:basedOn w:val="80"/>
    <w:next w:val="a0"/>
    <w:semiHidden/>
    <w:qFormat/>
    <w:pPr>
      <w:ind w:left="1418" w:hanging="1418"/>
    </w:pPr>
  </w:style>
  <w:style w:type="paragraph" w:styleId="24">
    <w:name w:val="Body Text 2"/>
    <w:basedOn w:val="a0"/>
    <w:qFormat/>
    <w:pPr>
      <w:tabs>
        <w:tab w:val="left" w:pos="1985"/>
      </w:tabs>
      <w:overflowPunct w:val="0"/>
      <w:autoSpaceDE w:val="0"/>
      <w:autoSpaceDN w:val="0"/>
      <w:adjustRightInd w:val="0"/>
      <w:spacing w:before="0" w:beforeAutospacing="0" w:after="0"/>
      <w:jc w:val="both"/>
      <w:textAlignment w:val="baseline"/>
    </w:pPr>
    <w:rPr>
      <w:rFonts w:ascii="Arial" w:hAnsi="Arial"/>
      <w:sz w:val="22"/>
      <w:szCs w:val="20"/>
      <w:lang w:eastAsia="en-US"/>
    </w:rPr>
  </w:style>
  <w:style w:type="paragraph" w:styleId="af2">
    <w:name w:val="Normal (Web)"/>
    <w:basedOn w:val="a0"/>
    <w:uiPriority w:val="99"/>
    <w:unhideWhenUsed/>
    <w:qFormat/>
    <w:pPr>
      <w:spacing w:after="100" w:afterAutospacing="1"/>
      <w:jc w:val="both"/>
    </w:pPr>
    <w:rPr>
      <w:lang w:eastAsia="en-US"/>
    </w:rPr>
  </w:style>
  <w:style w:type="paragraph" w:styleId="11">
    <w:name w:val="index 1"/>
    <w:basedOn w:val="a0"/>
    <w:next w:val="a0"/>
    <w:semiHidden/>
    <w:qFormat/>
    <w:pPr>
      <w:keepLines/>
      <w:overflowPunct w:val="0"/>
      <w:autoSpaceDE w:val="0"/>
      <w:autoSpaceDN w:val="0"/>
      <w:adjustRightInd w:val="0"/>
      <w:spacing w:before="0" w:beforeAutospacing="0" w:after="0"/>
      <w:jc w:val="both"/>
      <w:textAlignment w:val="baseline"/>
    </w:pPr>
    <w:rPr>
      <w:sz w:val="20"/>
      <w:szCs w:val="20"/>
      <w:lang w:eastAsia="en-US"/>
    </w:r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overflowPunct w:val="0"/>
      <w:autoSpaceDE w:val="0"/>
      <w:autoSpaceDN w:val="0"/>
      <w:adjustRightInd w:val="0"/>
      <w:spacing w:before="0" w:beforeAutospacing="0" w:after="0"/>
      <w:jc w:val="both"/>
      <w:textAlignment w:val="baseline"/>
    </w:pPr>
    <w:rPr>
      <w:rFonts w:ascii="Arial" w:hAnsi="Arial"/>
      <w:sz w:val="18"/>
      <w:szCs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beforeAutospacing="0"/>
      <w:jc w:val="center"/>
      <w:textAlignment w:val="baseline"/>
    </w:pPr>
    <w:rPr>
      <w:rFonts w:ascii="Arial" w:hAnsi="Arial"/>
      <w:b/>
      <w:sz w:val="20"/>
      <w:szCs w:val="20"/>
      <w:lang w:eastAsia="en-US"/>
    </w:rPr>
  </w:style>
  <w:style w:type="paragraph" w:customStyle="1" w:styleId="NO">
    <w:name w:val="NO"/>
    <w:basedOn w:val="a0"/>
    <w:link w:val="NOChar"/>
    <w:qFormat/>
    <w:pPr>
      <w:keepLines/>
      <w:overflowPunct w:val="0"/>
      <w:autoSpaceDE w:val="0"/>
      <w:autoSpaceDN w:val="0"/>
      <w:adjustRightInd w:val="0"/>
      <w:spacing w:before="0" w:beforeAutospacing="0"/>
      <w:ind w:left="1135" w:hanging="851"/>
      <w:jc w:val="both"/>
      <w:textAlignment w:val="baseline"/>
    </w:pPr>
    <w:rPr>
      <w:sz w:val="20"/>
      <w:szCs w:val="20"/>
      <w:lang w:eastAsia="en-US"/>
    </w:rPr>
  </w:style>
  <w:style w:type="paragraph" w:customStyle="1" w:styleId="EX">
    <w:name w:val="EX"/>
    <w:basedOn w:val="a0"/>
    <w:qFormat/>
    <w:pPr>
      <w:keepLines/>
      <w:overflowPunct w:val="0"/>
      <w:autoSpaceDE w:val="0"/>
      <w:autoSpaceDN w:val="0"/>
      <w:adjustRightInd w:val="0"/>
      <w:spacing w:before="0" w:beforeAutospacing="0"/>
      <w:ind w:left="1702" w:hanging="1418"/>
      <w:jc w:val="both"/>
      <w:textAlignment w:val="baseline"/>
    </w:pPr>
    <w:rPr>
      <w:sz w:val="20"/>
      <w:szCs w:val="20"/>
      <w:lang w:eastAsia="en-US"/>
    </w:rPr>
  </w:style>
  <w:style w:type="paragraph" w:customStyle="1" w:styleId="FP">
    <w:name w:val="FP"/>
    <w:basedOn w:val="a0"/>
    <w:qFormat/>
    <w:pPr>
      <w:overflowPunct w:val="0"/>
      <w:autoSpaceDE w:val="0"/>
      <w:autoSpaceDN w:val="0"/>
      <w:adjustRightInd w:val="0"/>
      <w:spacing w:before="0" w:beforeAutospacing="0" w:after="0"/>
      <w:jc w:val="both"/>
      <w:textAlignment w:val="baseline"/>
    </w:pPr>
    <w:rPr>
      <w:sz w:val="20"/>
      <w:szCs w:val="20"/>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overflowPunct w:val="0"/>
      <w:autoSpaceDE w:val="0"/>
      <w:autoSpaceDN w:val="0"/>
      <w:adjustRightInd w:val="0"/>
      <w:spacing w:before="0" w:beforeAutospacing="0"/>
      <w:jc w:val="both"/>
      <w:textAlignment w:val="baseline"/>
    </w:pPr>
    <w:rPr>
      <w:sz w:val="20"/>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overflowPunct w:val="0"/>
      <w:autoSpaceDE w:val="0"/>
      <w:autoSpaceDN w:val="0"/>
      <w:adjustRightInd w:val="0"/>
      <w:spacing w:before="0" w:beforeAutospacing="0"/>
      <w:jc w:val="both"/>
      <w:textAlignment w:val="baseline"/>
    </w:pPr>
    <w:rPr>
      <w:sz w:val="20"/>
      <w:szCs w:val="20"/>
      <w:lang w:eastAsia="en-US"/>
    </w:rPr>
  </w:style>
  <w:style w:type="paragraph" w:customStyle="1" w:styleId="text">
    <w:name w:val="text"/>
    <w:basedOn w:val="a0"/>
    <w:qFormat/>
    <w:pPr>
      <w:overflowPunct w:val="0"/>
      <w:autoSpaceDE w:val="0"/>
      <w:autoSpaceDN w:val="0"/>
      <w:adjustRightInd w:val="0"/>
      <w:spacing w:before="0" w:beforeAutospacing="0" w:after="240"/>
      <w:jc w:val="both"/>
      <w:textAlignment w:val="baseline"/>
    </w:pPr>
    <w:rPr>
      <w:szCs w:val="20"/>
    </w:rPr>
  </w:style>
  <w:style w:type="paragraph" w:customStyle="1" w:styleId="Equation">
    <w:name w:val="Equation"/>
    <w:basedOn w:val="a0"/>
    <w:next w:val="a0"/>
    <w:qFormat/>
    <w:pPr>
      <w:tabs>
        <w:tab w:val="right" w:pos="10206"/>
      </w:tabs>
      <w:overflowPunct w:val="0"/>
      <w:autoSpaceDE w:val="0"/>
      <w:autoSpaceDN w:val="0"/>
      <w:adjustRightInd w:val="0"/>
      <w:spacing w:before="0" w:beforeAutospacing="0" w:after="220"/>
      <w:ind w:left="1298"/>
      <w:jc w:val="both"/>
      <w:textAlignment w:val="baseline"/>
    </w:pPr>
    <w:rPr>
      <w:rFonts w:ascii="Arial" w:hAnsi="Arial"/>
      <w:sz w:val="22"/>
      <w:szCs w:val="20"/>
    </w:rPr>
  </w:style>
  <w:style w:type="paragraph" w:customStyle="1" w:styleId="00BodyText">
    <w:name w:val="00 BodyText"/>
    <w:basedOn w:val="a0"/>
    <w:qFormat/>
    <w:pPr>
      <w:overflowPunct w:val="0"/>
      <w:autoSpaceDE w:val="0"/>
      <w:autoSpaceDN w:val="0"/>
      <w:adjustRightInd w:val="0"/>
      <w:spacing w:before="0" w:beforeAutospacing="0" w:after="220"/>
      <w:jc w:val="both"/>
      <w:textAlignment w:val="baseline"/>
    </w:pPr>
    <w:rPr>
      <w:rFonts w:ascii="Arial" w:hAnsi="Arial"/>
      <w:sz w:val="22"/>
      <w:szCs w:val="20"/>
      <w:lang w:eastAsia="en-US"/>
    </w:rPr>
  </w:style>
  <w:style w:type="paragraph" w:customStyle="1" w:styleId="11BodyText">
    <w:name w:val="11 BodyText"/>
    <w:basedOn w:val="a0"/>
    <w:qFormat/>
    <w:pPr>
      <w:overflowPunct w:val="0"/>
      <w:autoSpaceDE w:val="0"/>
      <w:autoSpaceDN w:val="0"/>
      <w:adjustRightInd w:val="0"/>
      <w:spacing w:before="0" w:beforeAutospacing="0" w:after="220"/>
      <w:ind w:left="1298"/>
      <w:jc w:val="both"/>
      <w:textAlignment w:val="baseline"/>
    </w:pPr>
    <w:rPr>
      <w:rFonts w:ascii="Arial" w:hAnsi="Arial"/>
      <w:sz w:val="22"/>
      <w:szCs w:val="20"/>
      <w:lang w:eastAsia="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overflowPunct w:val="0"/>
      <w:autoSpaceDE w:val="0"/>
      <w:autoSpaceDN w:val="0"/>
      <w:adjustRightInd w:val="0"/>
      <w:spacing w:before="120" w:beforeAutospacing="0" w:after="120" w:line="280" w:lineRule="atLeast"/>
      <w:jc w:val="both"/>
      <w:textAlignment w:val="baseline"/>
    </w:pPr>
    <w:rPr>
      <w:rFonts w:ascii="New York" w:hAnsi="New York"/>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overflowPunct w:val="0"/>
      <w:autoSpaceDE w:val="0"/>
      <w:autoSpaceDN w:val="0"/>
      <w:adjustRightInd w:val="0"/>
      <w:spacing w:before="120" w:beforeAutospacing="0" w:after="120" w:line="280" w:lineRule="atLeast"/>
      <w:jc w:val="both"/>
      <w:textAlignment w:val="baseline"/>
    </w:pPr>
    <w:rPr>
      <w:rFonts w:ascii="New York" w:hAnsi="New York"/>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uiPriority w:val="99"/>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before="0" w:beforeAutospacing="0" w:after="120"/>
      <w:jc w:val="both"/>
    </w:pPr>
    <w:rPr>
      <w:rFonts w:eastAsia="Calibri"/>
      <w:sz w:val="20"/>
      <w:szCs w:val="22"/>
      <w:lang w:val="en-GB"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autoSpaceDE w:val="0"/>
      <w:autoSpaceDN w:val="0"/>
      <w:adjustRightInd w:val="0"/>
      <w:snapToGrid w:val="0"/>
      <w:spacing w:before="0" w:beforeAutospacing="0" w:afterLines="50" w:after="0" w:line="264" w:lineRule="auto"/>
      <w:jc w:val="both"/>
    </w:pPr>
    <w:rPr>
      <w:rFonts w:eastAsia="Batang"/>
      <w:kern w:val="2"/>
      <w:sz w:val="22"/>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jc w:val="both"/>
    </w:pPr>
    <w:rPr>
      <w:sz w:val="22"/>
      <w:szCs w:val="20"/>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beforeAutospacing="0" w:after="80"/>
      <w:jc w:val="center"/>
    </w:pPr>
    <w:rPr>
      <w:b/>
      <w:sz w:val="22"/>
      <w:szCs w:val="20"/>
      <w:lang w:val="fr-FR" w:eastAsia="en-US"/>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autoSpaceDE w:val="0"/>
      <w:autoSpaceDN w:val="0"/>
      <w:snapToGrid w:val="0"/>
      <w:spacing w:before="0" w:beforeAutospacing="0" w:after="60"/>
      <w:jc w:val="both"/>
    </w:pPr>
    <w:rPr>
      <w:sz w:val="20"/>
      <w:szCs w:val="16"/>
      <w:lang w:eastAsia="en-US"/>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overflowPunct w:val="0"/>
      <w:autoSpaceDE w:val="0"/>
      <w:autoSpaceDN w:val="0"/>
      <w:adjustRightInd w:val="0"/>
      <w:spacing w:before="240" w:beforeAutospacing="0" w:after="240"/>
      <w:jc w:val="both"/>
      <w:textAlignment w:val="baseline"/>
    </w:pPr>
    <w:rPr>
      <w:rFonts w:eastAsia="MS Mincho"/>
      <w:i/>
      <w:sz w:val="20"/>
      <w:szCs w:val="20"/>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overflowPunct w:val="0"/>
      <w:autoSpaceDE w:val="0"/>
      <w:autoSpaceDN w:val="0"/>
      <w:adjustRightInd w:val="0"/>
      <w:spacing w:before="0" w:beforeAutospacing="0"/>
      <w:jc w:val="center"/>
      <w:textAlignment w:val="baseline"/>
    </w:pPr>
    <w:rPr>
      <w:sz w:val="20"/>
      <w:szCs w:val="20"/>
      <w:lang w:eastAsia="en-US"/>
    </w:r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spacing w:before="60" w:beforeAutospacing="0" w:after="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5889">
      <w:bodyDiv w:val="1"/>
      <w:marLeft w:val="0"/>
      <w:marRight w:val="0"/>
      <w:marTop w:val="0"/>
      <w:marBottom w:val="0"/>
      <w:divBdr>
        <w:top w:val="none" w:sz="0" w:space="0" w:color="auto"/>
        <w:left w:val="none" w:sz="0" w:space="0" w:color="auto"/>
        <w:bottom w:val="none" w:sz="0" w:space="0" w:color="auto"/>
        <w:right w:val="none" w:sz="0" w:space="0" w:color="auto"/>
      </w:divBdr>
    </w:div>
    <w:div w:id="324016816">
      <w:bodyDiv w:val="1"/>
      <w:marLeft w:val="0"/>
      <w:marRight w:val="0"/>
      <w:marTop w:val="0"/>
      <w:marBottom w:val="0"/>
      <w:divBdr>
        <w:top w:val="none" w:sz="0" w:space="0" w:color="auto"/>
        <w:left w:val="none" w:sz="0" w:space="0" w:color="auto"/>
        <w:bottom w:val="none" w:sz="0" w:space="0" w:color="auto"/>
        <w:right w:val="none" w:sz="0" w:space="0" w:color="auto"/>
      </w:divBdr>
    </w:div>
    <w:div w:id="422075285">
      <w:bodyDiv w:val="1"/>
      <w:marLeft w:val="0"/>
      <w:marRight w:val="0"/>
      <w:marTop w:val="0"/>
      <w:marBottom w:val="0"/>
      <w:divBdr>
        <w:top w:val="none" w:sz="0" w:space="0" w:color="auto"/>
        <w:left w:val="none" w:sz="0" w:space="0" w:color="auto"/>
        <w:bottom w:val="none" w:sz="0" w:space="0" w:color="auto"/>
        <w:right w:val="none" w:sz="0" w:space="0" w:color="auto"/>
      </w:divBdr>
    </w:div>
    <w:div w:id="497500385">
      <w:bodyDiv w:val="1"/>
      <w:marLeft w:val="0"/>
      <w:marRight w:val="0"/>
      <w:marTop w:val="0"/>
      <w:marBottom w:val="0"/>
      <w:divBdr>
        <w:top w:val="none" w:sz="0" w:space="0" w:color="auto"/>
        <w:left w:val="none" w:sz="0" w:space="0" w:color="auto"/>
        <w:bottom w:val="none" w:sz="0" w:space="0" w:color="auto"/>
        <w:right w:val="none" w:sz="0" w:space="0" w:color="auto"/>
      </w:divBdr>
    </w:div>
    <w:div w:id="1477263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C2344F1-5ABE-460E-98E3-7FB3EDBE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12</cp:revision>
  <cp:lastPrinted>2018-04-07T03:05:00Z</cp:lastPrinted>
  <dcterms:created xsi:type="dcterms:W3CDTF">2021-03-23T03:27:00Z</dcterms:created>
  <dcterms:modified xsi:type="dcterms:W3CDTF">2021-03-30T07:07:00Z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